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883" w:rsidRPr="00AE225D" w:rsidRDefault="00E1288B" w:rsidP="00AE225D">
      <w:pPr>
        <w:spacing w:after="0" w:line="240" w:lineRule="auto"/>
        <w:jc w:val="both"/>
        <w:rPr>
          <w:rFonts w:asciiTheme="majorHAnsi" w:hAnsiTheme="majorHAnsi" w:cstheme="majorHAnsi"/>
          <w:b/>
          <w:lang w:val="es-MX"/>
        </w:rPr>
      </w:pPr>
      <w:bookmarkStart w:id="0" w:name="_GoBack"/>
      <w:bookmarkEnd w:id="0"/>
      <w:r w:rsidRPr="00AE225D">
        <w:rPr>
          <w:rFonts w:asciiTheme="majorHAnsi" w:hAnsiTheme="majorHAnsi" w:cstheme="majorHAnsi"/>
          <w:b/>
          <w:lang w:val="es-MX"/>
        </w:rPr>
        <w:t>GLOSA N°06</w:t>
      </w:r>
    </w:p>
    <w:p w:rsidR="0063120D" w:rsidRPr="00976125" w:rsidRDefault="00123CCC" w:rsidP="00AE225D">
      <w:pPr>
        <w:spacing w:after="0" w:line="240" w:lineRule="auto"/>
        <w:jc w:val="both"/>
        <w:rPr>
          <w:rFonts w:asciiTheme="majorHAnsi" w:hAnsiTheme="majorHAnsi" w:cstheme="majorHAnsi"/>
          <w:i/>
          <w:color w:val="000000"/>
          <w:shd w:val="clear" w:color="auto" w:fill="FFFFFF"/>
        </w:rPr>
      </w:pPr>
      <w:r w:rsidRPr="00AE225D">
        <w:rPr>
          <w:rFonts w:asciiTheme="majorHAnsi" w:hAnsiTheme="majorHAnsi" w:cstheme="majorHAnsi"/>
          <w:i/>
          <w:color w:val="000000"/>
          <w:shd w:val="clear" w:color="auto" w:fill="FFFFFF"/>
        </w:rPr>
        <w:t xml:space="preserve">La Dirección General de Obras Públicas deberá informar de manera mensual a la Comisión Especial Mixta de Presupuestos, a la Comisión de Obras Públicas del Senado y a la Comisión de Obras Públicas, Transportes y Telecomunicaciones de la Cámara de Diputados, por medios electrónicos y en formato procesable, sobre la ejecución de los recursos contenidos en este Programa y aquellos transferidos a todos los servicios del Ministerio de Obras Públicas y otros servicios públicos y/o privados, cualquiera sea el subtítulo en que se ejecuten por parte de terceros. La información remitida deberá hacer mención expresa a los montos provenientes del Programa y traspasados desde el Subtítulo 33 a cualquier otro Subtítulo, así como también sobre la ejecución que se realice en cualquier Subtítulo, indicando de manera detallada los montos asignados a los órganos ejecutores de los recursos y las solicitudes de recursos que estos hayan realizado.  Asimismo, deberá informar sobre las acciones o iniciativas que se hayan financiado con cargo a los recursos del Programa, identificando los montos asignados a cada uno de los proyectos, y código BIP, en caso que corresponda; todo lo anterior, </w:t>
      </w:r>
      <w:r w:rsidRPr="00976125">
        <w:rPr>
          <w:rFonts w:asciiTheme="majorHAnsi" w:hAnsiTheme="majorHAnsi" w:cstheme="majorHAnsi"/>
          <w:i/>
          <w:color w:val="000000"/>
          <w:shd w:val="clear" w:color="auto" w:fill="FFFFFF"/>
        </w:rPr>
        <w:t>desagregado por región, provincia y comuna.</w:t>
      </w:r>
    </w:p>
    <w:p w:rsidR="00AE225D" w:rsidRPr="00976125" w:rsidRDefault="00AE225D" w:rsidP="00AE225D">
      <w:pPr>
        <w:spacing w:after="0" w:line="240" w:lineRule="auto"/>
        <w:jc w:val="both"/>
        <w:rPr>
          <w:rFonts w:asciiTheme="majorHAnsi" w:hAnsiTheme="majorHAnsi" w:cstheme="majorHAnsi"/>
          <w:b/>
          <w:i/>
          <w:u w:val="single"/>
          <w:lang w:val="es-MX"/>
        </w:rPr>
      </w:pPr>
    </w:p>
    <w:p w:rsidR="008F0336" w:rsidRDefault="0063120D" w:rsidP="00E00408">
      <w:pPr>
        <w:spacing w:line="360" w:lineRule="auto"/>
        <w:jc w:val="both"/>
        <w:rPr>
          <w:rFonts w:asciiTheme="majorHAnsi" w:hAnsiTheme="majorHAnsi" w:cstheme="majorHAnsi"/>
          <w:b/>
          <w:lang w:val="es-MX"/>
        </w:rPr>
      </w:pPr>
      <w:r w:rsidRPr="00976125">
        <w:rPr>
          <w:rFonts w:asciiTheme="majorHAnsi" w:hAnsiTheme="majorHAnsi" w:cstheme="majorHAnsi"/>
          <w:b/>
          <w:u w:val="single"/>
          <w:lang w:val="es-MX"/>
        </w:rPr>
        <w:t>RESPUESTA</w:t>
      </w:r>
    </w:p>
    <w:tbl>
      <w:tblPr>
        <w:tblStyle w:val="Tablaconcuadrcula"/>
        <w:tblW w:w="0" w:type="auto"/>
        <w:tblBorders>
          <w:top w:val="dashSmallGap" w:sz="4" w:space="0" w:color="D9D9D9" w:themeColor="background1" w:themeShade="D9"/>
          <w:left w:val="dashSmallGap" w:sz="4" w:space="0" w:color="D9D9D9" w:themeColor="background1" w:themeShade="D9"/>
          <w:bottom w:val="dashSmallGap" w:sz="4" w:space="0" w:color="D9D9D9" w:themeColor="background1" w:themeShade="D9"/>
          <w:right w:val="dashSmallGap" w:sz="4" w:space="0" w:color="D9D9D9" w:themeColor="background1" w:themeShade="D9"/>
          <w:insideH w:val="dashSmallGap" w:sz="4" w:space="0" w:color="D9D9D9" w:themeColor="background1" w:themeShade="D9"/>
          <w:insideV w:val="dashSmallGap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8F0336" w:rsidRPr="009A2663" w:rsidTr="00FC2A1A">
        <w:tc>
          <w:tcPr>
            <w:tcW w:w="1696" w:type="dxa"/>
            <w:vAlign w:val="center"/>
          </w:tcPr>
          <w:p w:rsidR="008F0336" w:rsidRPr="009A2663" w:rsidRDefault="008F0336" w:rsidP="00DA080B">
            <w:pPr>
              <w:rPr>
                <w:rFonts w:asciiTheme="majorHAnsi" w:hAnsiTheme="majorHAnsi" w:cstheme="majorHAnsi"/>
                <w:b/>
                <w:sz w:val="20"/>
                <w:lang w:val="es-MX"/>
              </w:rPr>
            </w:pPr>
            <w:r w:rsidRPr="009A2663">
              <w:rPr>
                <w:rFonts w:asciiTheme="majorHAnsi" w:hAnsiTheme="majorHAnsi" w:cstheme="majorHAnsi"/>
                <w:b/>
                <w:sz w:val="20"/>
                <w:lang w:val="es-MX"/>
              </w:rPr>
              <w:t>Periodo</w:t>
            </w:r>
          </w:p>
        </w:tc>
        <w:tc>
          <w:tcPr>
            <w:tcW w:w="7655" w:type="dxa"/>
            <w:vAlign w:val="center"/>
          </w:tcPr>
          <w:p w:rsidR="008F0336" w:rsidRPr="00FC2A1A" w:rsidRDefault="008A3B8F" w:rsidP="008A3B8F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>C</w:t>
            </w:r>
            <w:r w:rsidR="00DD583F">
              <w:rPr>
                <w:rFonts w:asciiTheme="majorHAnsi" w:hAnsiTheme="majorHAnsi" w:cstheme="majorHAnsi"/>
                <w:lang w:val="es-MX"/>
              </w:rPr>
              <w:t xml:space="preserve">ierre </w:t>
            </w:r>
            <w:r w:rsidR="0093771B" w:rsidRPr="00FC2A1A">
              <w:rPr>
                <w:rFonts w:asciiTheme="majorHAnsi" w:hAnsiTheme="majorHAnsi" w:cstheme="majorHAnsi"/>
                <w:lang w:val="es-MX"/>
              </w:rPr>
              <w:t>de</w:t>
            </w:r>
            <w:r w:rsidR="00DD583F">
              <w:rPr>
                <w:rFonts w:asciiTheme="majorHAnsi" w:hAnsiTheme="majorHAnsi" w:cstheme="majorHAnsi"/>
                <w:lang w:val="es-MX"/>
              </w:rPr>
              <w:t xml:space="preserve">l mes de </w:t>
            </w:r>
            <w:r w:rsidR="00B04FA1">
              <w:rPr>
                <w:rFonts w:asciiTheme="majorHAnsi" w:hAnsiTheme="majorHAnsi" w:cstheme="majorHAnsi"/>
                <w:lang w:val="es-MX"/>
              </w:rPr>
              <w:t>julio</w:t>
            </w:r>
            <w:r w:rsidR="0093771B" w:rsidRPr="00FC2A1A">
              <w:rPr>
                <w:rFonts w:asciiTheme="majorHAnsi" w:hAnsiTheme="majorHAnsi" w:cstheme="majorHAnsi"/>
                <w:lang w:val="es-MX"/>
              </w:rPr>
              <w:t xml:space="preserve"> del 2024</w:t>
            </w:r>
          </w:p>
        </w:tc>
      </w:tr>
      <w:tr w:rsidR="00AF21D7" w:rsidRPr="009A2663" w:rsidTr="00AF21D7">
        <w:tc>
          <w:tcPr>
            <w:tcW w:w="1696" w:type="dxa"/>
          </w:tcPr>
          <w:p w:rsidR="00AF21D7" w:rsidRPr="009A2663" w:rsidRDefault="00AF21D7" w:rsidP="00AF21D7">
            <w:pPr>
              <w:rPr>
                <w:rFonts w:asciiTheme="majorHAnsi" w:hAnsiTheme="majorHAnsi" w:cstheme="majorHAnsi"/>
                <w:b/>
                <w:sz w:val="20"/>
                <w:lang w:val="es-MX"/>
              </w:rPr>
            </w:pPr>
            <w:r w:rsidRPr="00AF21D7">
              <w:rPr>
                <w:rFonts w:asciiTheme="majorHAnsi" w:hAnsiTheme="majorHAnsi" w:cstheme="majorHAnsi"/>
                <w:b/>
                <w:sz w:val="20"/>
                <w:lang w:val="es-MX"/>
              </w:rPr>
              <w:t>Detalle ejecución del programa</w:t>
            </w:r>
          </w:p>
        </w:tc>
        <w:tc>
          <w:tcPr>
            <w:tcW w:w="7655" w:type="dxa"/>
            <w:vAlign w:val="center"/>
          </w:tcPr>
          <w:p w:rsidR="00AF21D7" w:rsidRPr="008F0336" w:rsidRDefault="00AF21D7" w:rsidP="00AF21D7">
            <w:pPr>
              <w:spacing w:line="276" w:lineRule="auto"/>
              <w:jc w:val="both"/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 xml:space="preserve">Detalle en </w:t>
            </w:r>
            <w:r w:rsidRPr="00AF21D7">
              <w:rPr>
                <w:rFonts w:asciiTheme="majorHAnsi" w:hAnsiTheme="majorHAnsi" w:cstheme="majorHAnsi"/>
                <w:lang w:val="es-MX"/>
              </w:rPr>
              <w:t>Tabla N°</w:t>
            </w:r>
            <w:r>
              <w:rPr>
                <w:rFonts w:asciiTheme="majorHAnsi" w:hAnsiTheme="majorHAnsi" w:cstheme="majorHAnsi"/>
                <w:lang w:val="es-MX"/>
              </w:rPr>
              <w:t>1</w:t>
            </w:r>
          </w:p>
        </w:tc>
      </w:tr>
      <w:tr w:rsidR="008F0336" w:rsidRPr="009A2663" w:rsidTr="00FC2A1A">
        <w:tc>
          <w:tcPr>
            <w:tcW w:w="1696" w:type="dxa"/>
          </w:tcPr>
          <w:p w:rsidR="008F0336" w:rsidRPr="009A2663" w:rsidRDefault="008F0336" w:rsidP="00DA080B">
            <w:pPr>
              <w:rPr>
                <w:rFonts w:asciiTheme="majorHAnsi" w:hAnsiTheme="majorHAnsi" w:cstheme="majorHAnsi"/>
                <w:b/>
                <w:sz w:val="20"/>
                <w:lang w:val="es-MX"/>
              </w:rPr>
            </w:pPr>
            <w:r w:rsidRPr="009A2663">
              <w:rPr>
                <w:rFonts w:asciiTheme="majorHAnsi" w:hAnsiTheme="majorHAnsi" w:cstheme="majorHAnsi"/>
                <w:b/>
                <w:sz w:val="20"/>
                <w:lang w:val="es-MX"/>
              </w:rPr>
              <w:t>Subtítulo 33.02</w:t>
            </w:r>
          </w:p>
        </w:tc>
        <w:tc>
          <w:tcPr>
            <w:tcW w:w="7655" w:type="dxa"/>
            <w:vAlign w:val="center"/>
          </w:tcPr>
          <w:p w:rsidR="00AF21D7" w:rsidRDefault="00AF21D7" w:rsidP="00AF21D7">
            <w:pPr>
              <w:pStyle w:val="Prrafodelista"/>
              <w:numPr>
                <w:ilvl w:val="0"/>
                <w:numId w:val="12"/>
              </w:numPr>
              <w:spacing w:line="276" w:lineRule="auto"/>
              <w:ind w:left="176" w:hanging="142"/>
              <w:jc w:val="both"/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>En Tabla N°2, resumen de iniciativas de inversión 2024 por región</w:t>
            </w:r>
          </w:p>
          <w:p w:rsidR="008F0336" w:rsidRPr="008F0336" w:rsidRDefault="00AF21D7" w:rsidP="00676B68">
            <w:pPr>
              <w:pStyle w:val="Prrafodelista"/>
              <w:numPr>
                <w:ilvl w:val="0"/>
                <w:numId w:val="12"/>
              </w:numPr>
              <w:spacing w:line="276" w:lineRule="auto"/>
              <w:ind w:left="176" w:hanging="142"/>
              <w:jc w:val="both"/>
              <w:rPr>
                <w:rFonts w:asciiTheme="majorHAnsi" w:hAnsiTheme="majorHAnsi" w:cstheme="majorHAnsi"/>
                <w:lang w:val="es-MX"/>
              </w:rPr>
            </w:pPr>
            <w:r w:rsidRPr="00AF21D7">
              <w:rPr>
                <w:rFonts w:asciiTheme="majorHAnsi" w:hAnsiTheme="majorHAnsi" w:cstheme="majorHAnsi"/>
                <w:lang w:val="es-MX"/>
              </w:rPr>
              <w:t xml:space="preserve">En Anexo N°1, </w:t>
            </w:r>
            <w:r w:rsidR="00676B68">
              <w:rPr>
                <w:rFonts w:asciiTheme="majorHAnsi" w:hAnsiTheme="majorHAnsi" w:cstheme="majorHAnsi"/>
                <w:lang w:val="es-MX"/>
              </w:rPr>
              <w:t xml:space="preserve">detalle de </w:t>
            </w:r>
            <w:r w:rsidRPr="00AF21D7">
              <w:rPr>
                <w:rFonts w:asciiTheme="majorHAnsi" w:hAnsiTheme="majorHAnsi" w:cstheme="majorHAnsi"/>
                <w:lang w:val="es-MX"/>
              </w:rPr>
              <w:t>iniciativas de inversión 2024</w:t>
            </w:r>
          </w:p>
        </w:tc>
      </w:tr>
      <w:tr w:rsidR="008F0336" w:rsidRPr="009A2663" w:rsidTr="00FC2A1A">
        <w:tc>
          <w:tcPr>
            <w:tcW w:w="1696" w:type="dxa"/>
          </w:tcPr>
          <w:p w:rsidR="008F0336" w:rsidRPr="009A2663" w:rsidRDefault="008F0336" w:rsidP="00DA080B">
            <w:pPr>
              <w:rPr>
                <w:rFonts w:asciiTheme="majorHAnsi" w:hAnsiTheme="majorHAnsi" w:cstheme="majorHAnsi"/>
                <w:b/>
                <w:sz w:val="20"/>
                <w:lang w:val="es-MX"/>
              </w:rPr>
            </w:pPr>
            <w:r w:rsidRPr="009A2663">
              <w:rPr>
                <w:rFonts w:asciiTheme="majorHAnsi" w:hAnsiTheme="majorHAnsi" w:cstheme="majorHAnsi"/>
                <w:b/>
                <w:sz w:val="20"/>
                <w:lang w:val="es-MX"/>
              </w:rPr>
              <w:t>Subtítulo 33.03</w:t>
            </w:r>
          </w:p>
        </w:tc>
        <w:tc>
          <w:tcPr>
            <w:tcW w:w="7655" w:type="dxa"/>
          </w:tcPr>
          <w:p w:rsidR="008F0336" w:rsidRPr="00FC2A1A" w:rsidRDefault="008F0336" w:rsidP="00DA080B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FC2A1A">
              <w:rPr>
                <w:rFonts w:asciiTheme="majorHAnsi" w:hAnsiTheme="majorHAnsi" w:cstheme="majorHAnsi"/>
                <w:lang w:val="es-MX"/>
              </w:rPr>
              <w:t>Convenios en procesos de gestión, no se registran transferencias</w:t>
            </w:r>
          </w:p>
        </w:tc>
      </w:tr>
    </w:tbl>
    <w:p w:rsidR="00FC2A1A" w:rsidRDefault="00FC2A1A" w:rsidP="00A828C1">
      <w:pPr>
        <w:spacing w:after="60" w:line="240" w:lineRule="auto"/>
        <w:jc w:val="center"/>
        <w:rPr>
          <w:rFonts w:asciiTheme="majorHAnsi" w:hAnsiTheme="majorHAnsi" w:cstheme="majorHAnsi"/>
          <w:b/>
          <w:sz w:val="20"/>
          <w:lang w:val="es-MX"/>
        </w:rPr>
      </w:pPr>
    </w:p>
    <w:p w:rsidR="00A828C1" w:rsidRPr="00BD221D" w:rsidRDefault="0081631D" w:rsidP="00A828C1">
      <w:pPr>
        <w:spacing w:after="60" w:line="240" w:lineRule="auto"/>
        <w:jc w:val="center"/>
        <w:rPr>
          <w:rStyle w:val="Hipervnculo"/>
          <w:rFonts w:asciiTheme="majorHAnsi" w:hAnsiTheme="majorHAnsi" w:cstheme="majorHAnsi"/>
          <w:sz w:val="20"/>
          <w:szCs w:val="20"/>
          <w:shd w:val="clear" w:color="auto" w:fill="FFFFFF"/>
        </w:rPr>
      </w:pPr>
      <w:r w:rsidRPr="00F60CF4">
        <w:rPr>
          <w:rFonts w:asciiTheme="majorHAnsi" w:hAnsiTheme="majorHAnsi" w:cstheme="majorHAnsi"/>
          <w:b/>
          <w:sz w:val="20"/>
          <w:lang w:val="es-MX"/>
        </w:rPr>
        <w:t xml:space="preserve">Tabla </w:t>
      </w:r>
      <w:r w:rsidR="00A828C1" w:rsidRPr="00F60CF4">
        <w:rPr>
          <w:rFonts w:asciiTheme="majorHAnsi" w:hAnsiTheme="majorHAnsi" w:cstheme="majorHAnsi"/>
          <w:b/>
          <w:sz w:val="20"/>
          <w:lang w:val="es-MX"/>
        </w:rPr>
        <w:t>N°</w:t>
      </w:r>
      <w:r w:rsidR="00B04FA1">
        <w:rPr>
          <w:rFonts w:asciiTheme="majorHAnsi" w:hAnsiTheme="majorHAnsi" w:cstheme="majorHAnsi"/>
          <w:b/>
          <w:sz w:val="20"/>
          <w:lang w:val="es-MX"/>
        </w:rPr>
        <w:t>1</w:t>
      </w:r>
      <w:r w:rsidR="00FF402D" w:rsidRPr="009B4D95">
        <w:rPr>
          <w:rFonts w:asciiTheme="majorHAnsi" w:hAnsiTheme="majorHAnsi" w:cstheme="majorHAnsi"/>
          <w:sz w:val="20"/>
          <w:lang w:val="es-MX"/>
        </w:rPr>
        <w:t>: Deta</w:t>
      </w:r>
      <w:r w:rsidR="00DD583F">
        <w:rPr>
          <w:rFonts w:asciiTheme="majorHAnsi" w:hAnsiTheme="majorHAnsi" w:cstheme="majorHAnsi"/>
          <w:sz w:val="20"/>
          <w:lang w:val="es-MX"/>
        </w:rPr>
        <w:t>lle ejecución del programa a jul</w:t>
      </w:r>
      <w:r w:rsidR="00FF402D" w:rsidRPr="009B4D95">
        <w:rPr>
          <w:rFonts w:asciiTheme="majorHAnsi" w:hAnsiTheme="majorHAnsi" w:cstheme="majorHAnsi"/>
          <w:sz w:val="20"/>
          <w:lang w:val="es-MX"/>
        </w:rPr>
        <w:t xml:space="preserve">io del 2024 </w:t>
      </w:r>
      <w:r w:rsidR="00A828C1" w:rsidRPr="009B4D95">
        <w:rPr>
          <w:rFonts w:asciiTheme="majorHAnsi" w:hAnsiTheme="majorHAnsi" w:cstheme="majorHAnsi"/>
          <w:sz w:val="20"/>
          <w:lang w:val="es-MX"/>
        </w:rPr>
        <w:t>(en</w:t>
      </w:r>
      <w:r w:rsidR="00A828C1">
        <w:rPr>
          <w:rFonts w:asciiTheme="majorHAnsi" w:hAnsiTheme="majorHAnsi" w:cstheme="majorHAnsi"/>
          <w:sz w:val="20"/>
          <w:lang w:val="es-MX"/>
        </w:rPr>
        <w:t xml:space="preserve"> miles $)</w:t>
      </w:r>
    </w:p>
    <w:tbl>
      <w:tblPr>
        <w:tblW w:w="49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567"/>
        <w:gridCol w:w="569"/>
        <w:gridCol w:w="3826"/>
        <w:gridCol w:w="1271"/>
        <w:gridCol w:w="1277"/>
        <w:gridCol w:w="1277"/>
      </w:tblGrid>
      <w:tr w:rsidR="00A828C1" w:rsidRPr="00A828C1" w:rsidTr="00AF21D7">
        <w:trPr>
          <w:trHeight w:val="335"/>
          <w:jc w:val="center"/>
        </w:trPr>
        <w:tc>
          <w:tcPr>
            <w:tcW w:w="230" w:type="pct"/>
            <w:shd w:val="clear" w:color="auto" w:fill="F2F2F2" w:themeFill="background1" w:themeFillShade="F2"/>
            <w:noWrap/>
            <w:vAlign w:val="center"/>
            <w:hideMark/>
          </w:tcPr>
          <w:p w:rsidR="00A828C1" w:rsidRPr="00A828C1" w:rsidRDefault="00EF2D5F" w:rsidP="00A828C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  <w:t>ST</w:t>
            </w:r>
          </w:p>
        </w:tc>
        <w:tc>
          <w:tcPr>
            <w:tcW w:w="308" w:type="pct"/>
            <w:shd w:val="clear" w:color="auto" w:fill="F2F2F2" w:themeFill="background1" w:themeFillShade="F2"/>
            <w:noWrap/>
            <w:vAlign w:val="center"/>
            <w:hideMark/>
          </w:tcPr>
          <w:p w:rsidR="00A828C1" w:rsidRPr="00A828C1" w:rsidRDefault="00EF2D5F" w:rsidP="00A828C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  <w:t>ÍTEM</w:t>
            </w:r>
          </w:p>
        </w:tc>
        <w:tc>
          <w:tcPr>
            <w:tcW w:w="309" w:type="pct"/>
            <w:shd w:val="clear" w:color="auto" w:fill="F2F2F2" w:themeFill="background1" w:themeFillShade="F2"/>
            <w:noWrap/>
            <w:vAlign w:val="center"/>
            <w:hideMark/>
          </w:tcPr>
          <w:p w:rsidR="00A828C1" w:rsidRPr="00A828C1" w:rsidRDefault="00EF2D5F" w:rsidP="00A828C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  <w:t>ASIG</w:t>
            </w:r>
          </w:p>
        </w:tc>
        <w:tc>
          <w:tcPr>
            <w:tcW w:w="2077" w:type="pct"/>
            <w:shd w:val="clear" w:color="auto" w:fill="F2F2F2" w:themeFill="background1" w:themeFillShade="F2"/>
            <w:noWrap/>
            <w:vAlign w:val="center"/>
            <w:hideMark/>
          </w:tcPr>
          <w:p w:rsidR="00A828C1" w:rsidRPr="00A828C1" w:rsidRDefault="00EF2D5F" w:rsidP="00EF2D5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  <w:t>DENOMINACIÓN</w:t>
            </w:r>
          </w:p>
        </w:tc>
        <w:tc>
          <w:tcPr>
            <w:tcW w:w="690" w:type="pct"/>
            <w:shd w:val="clear" w:color="auto" w:fill="F2F2F2" w:themeFill="background1" w:themeFillShade="F2"/>
            <w:noWrap/>
            <w:vAlign w:val="center"/>
            <w:hideMark/>
          </w:tcPr>
          <w:p w:rsidR="00A828C1" w:rsidRPr="00EF2D5F" w:rsidRDefault="00EF2D5F" w:rsidP="00EF2D5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  <w:t>LEY</w:t>
            </w:r>
          </w:p>
          <w:p w:rsidR="00A828C1" w:rsidRPr="00A828C1" w:rsidRDefault="00EF2D5F" w:rsidP="00EF2D5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  <w:t>2024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A828C1" w:rsidRPr="00EF2D5F" w:rsidRDefault="00EF2D5F" w:rsidP="00EF2D5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  <w:t>PRESUPUESTO</w:t>
            </w:r>
          </w:p>
          <w:p w:rsidR="00A828C1" w:rsidRPr="00A828C1" w:rsidRDefault="00EF2D5F" w:rsidP="00EF2D5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  <w:t>VIGENTE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  <w:hideMark/>
          </w:tcPr>
          <w:p w:rsidR="00A828C1" w:rsidRPr="00A828C1" w:rsidRDefault="00EF2D5F" w:rsidP="00EF2D5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es-CL"/>
              </w:rPr>
              <w:t>EJECUCIÓN ACUMULADA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21</w:t>
            </w: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GASTO EN PERSONAL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  <w:t>436.869</w:t>
            </w:r>
          </w:p>
        </w:tc>
        <w:tc>
          <w:tcPr>
            <w:tcW w:w="693" w:type="pct"/>
            <w:shd w:val="clear" w:color="000000" w:fill="FFFFFF"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436.869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163.823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22</w:t>
            </w: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BIENES Y SERVICIOS DE CONSUMO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  <w:t>22.004</w:t>
            </w:r>
          </w:p>
        </w:tc>
        <w:tc>
          <w:tcPr>
            <w:tcW w:w="693" w:type="pct"/>
            <w:shd w:val="clear" w:color="000000" w:fill="FFFFFF"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22.004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3.326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33</w:t>
            </w: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TRANSFERENCIAS DE CAPITAL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  <w:t>396.640.234</w:t>
            </w:r>
          </w:p>
        </w:tc>
        <w:tc>
          <w:tcPr>
            <w:tcW w:w="693" w:type="pct"/>
            <w:shd w:val="clear" w:color="000000" w:fill="FFFFFF"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376.640.234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138.720.179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02</w:t>
            </w: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AL GOBIERNO CENTRAL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  <w:t>343.855.234</w:t>
            </w:r>
          </w:p>
        </w:tc>
        <w:tc>
          <w:tcPr>
            <w:tcW w:w="693" w:type="pct"/>
            <w:shd w:val="clear" w:color="000000" w:fill="FFFFFF"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344.155.234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138.720.179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202</w:t>
            </w: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A Dirección de Arquitectura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0</w:t>
            </w:r>
            <w:r w:rsidRPr="00A828C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93" w:type="pct"/>
            <w:shd w:val="clear" w:color="000000" w:fill="FFFFFF"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>300.000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Pr="00DD583F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203</w:t>
            </w: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A Dirección de Obras Hidráulicas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11.241.038</w:t>
            </w:r>
          </w:p>
        </w:tc>
        <w:tc>
          <w:tcPr>
            <w:tcW w:w="693" w:type="pct"/>
            <w:shd w:val="clear" w:color="000000" w:fill="FFFFFF"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>11.241.038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 xml:space="preserve"> 1.663.909 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204</w:t>
            </w: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A Dirección de Vialidad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258.788.166</w:t>
            </w:r>
          </w:p>
        </w:tc>
        <w:tc>
          <w:tcPr>
            <w:tcW w:w="693" w:type="pct"/>
            <w:shd w:val="clear" w:color="000000" w:fill="FFFFFF"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>258.788.166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 xml:space="preserve"> 121.576.610 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206</w:t>
            </w: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A Dirección de Obras Portuarias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5.650.201</w:t>
            </w:r>
          </w:p>
        </w:tc>
        <w:tc>
          <w:tcPr>
            <w:tcW w:w="693" w:type="pct"/>
            <w:shd w:val="clear" w:color="000000" w:fill="FFFFFF"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>5.650.201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 xml:space="preserve"> 1.189.788 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207</w:t>
            </w: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A Dirección de Aeropuertos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641.878</w:t>
            </w:r>
          </w:p>
        </w:tc>
        <w:tc>
          <w:tcPr>
            <w:tcW w:w="693" w:type="pct"/>
            <w:shd w:val="clear" w:color="000000" w:fill="FFFFFF"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>641.878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Pr="00DD583F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212</w:t>
            </w: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A Subdirección de Servicios Sanitarios Rurales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67.533.951</w:t>
            </w:r>
          </w:p>
        </w:tc>
        <w:tc>
          <w:tcPr>
            <w:tcW w:w="693" w:type="pct"/>
            <w:shd w:val="clear" w:color="000000" w:fill="FFFFFF"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>67.533.951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  <w:lang w:eastAsia="es-CL"/>
              </w:rPr>
              <w:t xml:space="preserve"> 14.289.872 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03</w:t>
            </w: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A OTRAS ENTIDADES PÚBLICAS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  <w:t>52.785.000</w:t>
            </w:r>
          </w:p>
        </w:tc>
        <w:tc>
          <w:tcPr>
            <w:tcW w:w="693" w:type="pct"/>
            <w:shd w:val="clear" w:color="000000" w:fill="FFFFFF"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32.485.000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DD583F" w:rsidRPr="00A828C1" w:rsidTr="00A828C1">
        <w:trPr>
          <w:trHeight w:val="255"/>
          <w:jc w:val="center"/>
        </w:trPr>
        <w:tc>
          <w:tcPr>
            <w:tcW w:w="230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34</w:t>
            </w:r>
          </w:p>
        </w:tc>
        <w:tc>
          <w:tcPr>
            <w:tcW w:w="308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</w:p>
        </w:tc>
        <w:tc>
          <w:tcPr>
            <w:tcW w:w="2077" w:type="pct"/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20"/>
                <w:lang w:eastAsia="es-CL"/>
              </w:rPr>
              <w:t>SERVICIO DE LA DEUDA</w:t>
            </w:r>
          </w:p>
        </w:tc>
        <w:tc>
          <w:tcPr>
            <w:tcW w:w="690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es-CL"/>
              </w:rPr>
              <w:t>10</w:t>
            </w:r>
          </w:p>
        </w:tc>
        <w:tc>
          <w:tcPr>
            <w:tcW w:w="693" w:type="pct"/>
            <w:shd w:val="clear" w:color="000000" w:fill="FFFFFF"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609.502</w:t>
            </w:r>
          </w:p>
        </w:tc>
        <w:tc>
          <w:tcPr>
            <w:tcW w:w="693" w:type="pct"/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609.502</w:t>
            </w:r>
          </w:p>
        </w:tc>
      </w:tr>
      <w:tr w:rsidR="00DD583F" w:rsidRPr="00A828C1" w:rsidTr="00A828C1">
        <w:trPr>
          <w:trHeight w:val="285"/>
          <w:jc w:val="center"/>
        </w:trPr>
        <w:tc>
          <w:tcPr>
            <w:tcW w:w="230" w:type="pct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404040"/>
                <w:sz w:val="18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404040"/>
                <w:sz w:val="18"/>
                <w:szCs w:val="20"/>
                <w:lang w:eastAsia="es-CL"/>
              </w:rPr>
              <w:t>35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404040"/>
                <w:sz w:val="18"/>
                <w:szCs w:val="20"/>
                <w:lang w:eastAsia="es-CL"/>
              </w:rPr>
            </w:pPr>
          </w:p>
        </w:tc>
        <w:tc>
          <w:tcPr>
            <w:tcW w:w="309" w:type="pct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404040"/>
                <w:sz w:val="18"/>
                <w:szCs w:val="20"/>
                <w:lang w:eastAsia="es-CL"/>
              </w:rPr>
            </w:pPr>
          </w:p>
        </w:tc>
        <w:tc>
          <w:tcPr>
            <w:tcW w:w="2077" w:type="pct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DD583F" w:rsidRPr="00A828C1" w:rsidRDefault="00DD583F" w:rsidP="00DD583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161616"/>
                <w:sz w:val="18"/>
                <w:szCs w:val="20"/>
                <w:lang w:eastAsia="es-CL"/>
              </w:rPr>
            </w:pPr>
            <w:r w:rsidRPr="00EF2D5F">
              <w:rPr>
                <w:rFonts w:asciiTheme="majorHAnsi" w:eastAsia="Times New Roman" w:hAnsiTheme="majorHAnsi" w:cstheme="majorHAnsi"/>
                <w:b/>
                <w:color w:val="161616"/>
                <w:sz w:val="18"/>
                <w:szCs w:val="20"/>
                <w:lang w:eastAsia="es-CL"/>
              </w:rPr>
              <w:t>SALDO FINAL DE CAJA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161616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color w:val="161616"/>
                <w:sz w:val="20"/>
                <w:szCs w:val="20"/>
                <w:lang w:eastAsia="es-CL"/>
              </w:rPr>
              <w:t>10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000000" w:fill="FFFFFF"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10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DD583F" w:rsidRPr="00A828C1" w:rsidTr="00AF21D7">
        <w:trPr>
          <w:trHeight w:val="255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40404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Cs/>
                <w:color w:val="40404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40404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Cs/>
                <w:color w:val="40404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Cs/>
                <w:color w:val="404040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Cs/>
                <w:color w:val="40404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D583F" w:rsidRPr="00A828C1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161616"/>
                <w:sz w:val="20"/>
                <w:szCs w:val="20"/>
                <w:lang w:eastAsia="es-CL"/>
              </w:rPr>
            </w:pPr>
            <w:r w:rsidRPr="00A828C1">
              <w:rPr>
                <w:rFonts w:asciiTheme="majorHAnsi" w:eastAsia="Times New Roman" w:hAnsiTheme="majorHAnsi" w:cstheme="majorHAnsi"/>
                <w:b/>
                <w:color w:val="161616"/>
                <w:sz w:val="20"/>
                <w:szCs w:val="20"/>
                <w:lang w:eastAsia="es-CL"/>
              </w:rPr>
              <w:t>TOTAL 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161616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161616"/>
                <w:sz w:val="20"/>
                <w:szCs w:val="20"/>
                <w:lang w:eastAsia="es-CL"/>
              </w:rPr>
              <w:t>397.099.127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161616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161616"/>
                <w:sz w:val="20"/>
                <w:szCs w:val="20"/>
                <w:lang w:eastAsia="es-CL"/>
              </w:rPr>
              <w:t>377.708.619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DD583F" w:rsidRPr="00DD583F" w:rsidRDefault="00DD583F" w:rsidP="00DD583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D583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CL"/>
              </w:rPr>
              <w:t>139.496.830</w:t>
            </w:r>
          </w:p>
        </w:tc>
      </w:tr>
    </w:tbl>
    <w:p w:rsidR="00A828C1" w:rsidRDefault="00A828C1" w:rsidP="00F60CF4">
      <w:pPr>
        <w:spacing w:after="60" w:line="240" w:lineRule="auto"/>
        <w:jc w:val="center"/>
        <w:rPr>
          <w:rFonts w:asciiTheme="majorHAnsi" w:hAnsiTheme="majorHAnsi" w:cstheme="majorHAnsi"/>
          <w:b/>
          <w:sz w:val="20"/>
          <w:lang w:val="es-MX"/>
        </w:rPr>
      </w:pPr>
    </w:p>
    <w:p w:rsidR="00EF2D5F" w:rsidRPr="00395672" w:rsidRDefault="00EF2D5F" w:rsidP="00676B68">
      <w:pPr>
        <w:pStyle w:val="Prrafodelista"/>
        <w:numPr>
          <w:ilvl w:val="0"/>
          <w:numId w:val="11"/>
        </w:numPr>
        <w:spacing w:after="6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val="es-MX"/>
        </w:rPr>
      </w:pPr>
      <w:r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Por medio de la Resolución DGOP N° 109 de 01/02/2024, se distribuyeron los recursos del Programa Infraestructura Buen Vivir correspondiente al </w:t>
      </w:r>
      <w:r w:rsidR="00DD583F">
        <w:rPr>
          <w:rFonts w:asciiTheme="majorHAnsi" w:hAnsiTheme="majorHAnsi" w:cstheme="majorHAnsi"/>
          <w:sz w:val="20"/>
          <w:szCs w:val="20"/>
          <w:lang w:val="es-MX"/>
        </w:rPr>
        <w:t>Subtítulo</w:t>
      </w:r>
      <w:r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33.02 en las distintas direcciones MOP.</w:t>
      </w:r>
    </w:p>
    <w:p w:rsidR="00A828C1" w:rsidRPr="00395672" w:rsidRDefault="00EF2D5F" w:rsidP="00676B68">
      <w:pPr>
        <w:pStyle w:val="Prrafodelista"/>
        <w:numPr>
          <w:ilvl w:val="0"/>
          <w:numId w:val="11"/>
        </w:numPr>
        <w:spacing w:after="6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val="es-MX"/>
        </w:rPr>
      </w:pPr>
      <w:r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Es importante indicar que se están realizando las gestiones internas necesarias para reflejar esta ejecución en el presupuesto del Programa Infraestructura Buen Vivir </w:t>
      </w:r>
      <w:r w:rsidR="00DD583F">
        <w:rPr>
          <w:rFonts w:asciiTheme="majorHAnsi" w:hAnsiTheme="majorHAnsi" w:cstheme="majorHAnsi"/>
          <w:sz w:val="20"/>
          <w:szCs w:val="20"/>
          <w:lang w:val="es-MX"/>
        </w:rPr>
        <w:t>Subtítulo</w:t>
      </w:r>
      <w:r w:rsidR="00DD583F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</w:t>
      </w:r>
      <w:r w:rsidRPr="00395672">
        <w:rPr>
          <w:rFonts w:asciiTheme="majorHAnsi" w:hAnsiTheme="majorHAnsi" w:cstheme="majorHAnsi"/>
          <w:sz w:val="20"/>
          <w:szCs w:val="20"/>
          <w:lang w:val="es-MX"/>
        </w:rPr>
        <w:t>33.02.</w:t>
      </w:r>
    </w:p>
    <w:p w:rsidR="00EF2D5F" w:rsidRPr="00395672" w:rsidRDefault="00EF2D5F" w:rsidP="00676B68">
      <w:pPr>
        <w:pStyle w:val="Prrafodelista"/>
        <w:numPr>
          <w:ilvl w:val="0"/>
          <w:numId w:val="11"/>
        </w:numPr>
        <w:spacing w:after="6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val="es-MX"/>
        </w:rPr>
      </w:pPr>
      <w:r w:rsidRPr="00395672">
        <w:rPr>
          <w:rFonts w:asciiTheme="majorHAnsi" w:hAnsiTheme="majorHAnsi" w:cstheme="majorHAnsi"/>
          <w:sz w:val="20"/>
          <w:szCs w:val="20"/>
          <w:lang w:val="es-MX"/>
        </w:rPr>
        <w:lastRenderedPageBreak/>
        <w:t>Mediante decreto DIPRES N°</w:t>
      </w:r>
      <w:r w:rsidR="00A0349F" w:rsidRPr="00395672">
        <w:rPr>
          <w:rFonts w:asciiTheme="majorHAnsi" w:hAnsiTheme="majorHAnsi" w:cstheme="majorHAnsi"/>
          <w:sz w:val="20"/>
          <w:szCs w:val="20"/>
          <w:lang w:val="es-MX"/>
        </w:rPr>
        <w:t>82</w:t>
      </w:r>
      <w:r w:rsidR="00F021DD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de 12/02/2024, TR 22/02/2024,</w:t>
      </w:r>
      <w:r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se realizó una </w:t>
      </w:r>
      <w:r w:rsidR="00F021DD" w:rsidRPr="00395672">
        <w:rPr>
          <w:rFonts w:asciiTheme="majorHAnsi" w:hAnsiTheme="majorHAnsi" w:cstheme="majorHAnsi"/>
          <w:sz w:val="20"/>
          <w:szCs w:val="20"/>
          <w:lang w:val="es-MX"/>
        </w:rPr>
        <w:t>modificación presupuestaria, con una r</w:t>
      </w:r>
      <w:r w:rsidR="005574B5" w:rsidRPr="00395672">
        <w:rPr>
          <w:rFonts w:asciiTheme="majorHAnsi" w:hAnsiTheme="majorHAnsi" w:cstheme="majorHAnsi"/>
          <w:sz w:val="20"/>
          <w:szCs w:val="20"/>
          <w:lang w:val="es-MX"/>
        </w:rPr>
        <w:t>educción</w:t>
      </w:r>
      <w:r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</w:t>
      </w:r>
      <w:r w:rsidR="00F021DD" w:rsidRPr="00395672">
        <w:rPr>
          <w:rFonts w:asciiTheme="majorHAnsi" w:hAnsiTheme="majorHAnsi" w:cstheme="majorHAnsi"/>
          <w:sz w:val="20"/>
          <w:szCs w:val="20"/>
          <w:lang w:val="es-MX"/>
        </w:rPr>
        <w:t>del</w:t>
      </w:r>
      <w:r w:rsidR="005574B5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</w:t>
      </w:r>
      <w:r w:rsidR="00DD583F">
        <w:rPr>
          <w:rFonts w:asciiTheme="majorHAnsi" w:hAnsiTheme="majorHAnsi" w:cstheme="majorHAnsi"/>
          <w:sz w:val="20"/>
          <w:szCs w:val="20"/>
          <w:lang w:val="es-MX"/>
        </w:rPr>
        <w:t>Subtítulo</w:t>
      </w:r>
      <w:r w:rsidR="00DD583F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</w:t>
      </w:r>
      <w:r w:rsidR="005574B5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33.03 </w:t>
      </w:r>
      <w:r w:rsidR="00F021DD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e incremento del </w:t>
      </w:r>
      <w:r w:rsidR="00DD583F">
        <w:rPr>
          <w:rFonts w:asciiTheme="majorHAnsi" w:hAnsiTheme="majorHAnsi" w:cstheme="majorHAnsi"/>
          <w:sz w:val="20"/>
          <w:szCs w:val="20"/>
          <w:lang w:val="es-MX"/>
        </w:rPr>
        <w:t>Subtítulo</w:t>
      </w:r>
      <w:r w:rsidR="00DD583F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</w:t>
      </w:r>
      <w:r w:rsidR="00F021DD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33.02.202 </w:t>
      </w:r>
      <w:r w:rsidR="005574B5" w:rsidRPr="00395672">
        <w:rPr>
          <w:rFonts w:asciiTheme="majorHAnsi" w:hAnsiTheme="majorHAnsi" w:cstheme="majorHAnsi"/>
          <w:sz w:val="20"/>
          <w:szCs w:val="20"/>
          <w:lang w:val="es-MX"/>
        </w:rPr>
        <w:t>por un monto de M$20</w:t>
      </w:r>
      <w:r w:rsidR="00F021DD" w:rsidRPr="00395672">
        <w:rPr>
          <w:rFonts w:asciiTheme="majorHAnsi" w:hAnsiTheme="majorHAnsi" w:cstheme="majorHAnsi"/>
          <w:sz w:val="20"/>
          <w:szCs w:val="20"/>
          <w:lang w:val="es-MX"/>
        </w:rPr>
        <w:t>0.000 correspondiente a la Dirección de Arquitectura.</w:t>
      </w:r>
    </w:p>
    <w:p w:rsidR="00F021DD" w:rsidRPr="00395672" w:rsidRDefault="00F021DD" w:rsidP="00676B68">
      <w:pPr>
        <w:pStyle w:val="Prrafodelista"/>
        <w:numPr>
          <w:ilvl w:val="0"/>
          <w:numId w:val="11"/>
        </w:numPr>
        <w:spacing w:after="6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val="es-MX"/>
        </w:rPr>
      </w:pPr>
      <w:r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Mediante decreto DIPRES N°397 de 19/04/2024, TR 03/06/2024, se incrementó el </w:t>
      </w:r>
      <w:r w:rsidR="00DD583F">
        <w:rPr>
          <w:rFonts w:asciiTheme="majorHAnsi" w:hAnsiTheme="majorHAnsi" w:cstheme="majorHAnsi"/>
          <w:sz w:val="20"/>
          <w:szCs w:val="20"/>
          <w:lang w:val="es-MX"/>
        </w:rPr>
        <w:t>Subtítulo</w:t>
      </w:r>
      <w:r w:rsidR="00DD583F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</w:t>
      </w:r>
      <w:r w:rsidRPr="00395672">
        <w:rPr>
          <w:rFonts w:asciiTheme="majorHAnsi" w:hAnsiTheme="majorHAnsi" w:cstheme="majorHAnsi"/>
          <w:sz w:val="20"/>
          <w:szCs w:val="20"/>
          <w:lang w:val="es-MX"/>
        </w:rPr>
        <w:t>34 por un monto de M$609.492.</w:t>
      </w:r>
    </w:p>
    <w:p w:rsidR="00F021DD" w:rsidRPr="00395672" w:rsidRDefault="00F021DD" w:rsidP="00676B68">
      <w:pPr>
        <w:pStyle w:val="Prrafodelista"/>
        <w:numPr>
          <w:ilvl w:val="0"/>
          <w:numId w:val="11"/>
        </w:numPr>
        <w:spacing w:after="6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val="es-MX"/>
        </w:rPr>
      </w:pPr>
      <w:r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Mediante decreto DIPRES N°588 de 14/05/2024, TR 22/05/2024, se realizó una modificación presupuestaria, con una reducción del </w:t>
      </w:r>
      <w:r w:rsidR="00DD583F">
        <w:rPr>
          <w:rFonts w:asciiTheme="majorHAnsi" w:hAnsiTheme="majorHAnsi" w:cstheme="majorHAnsi"/>
          <w:sz w:val="20"/>
          <w:szCs w:val="20"/>
          <w:lang w:val="es-MX"/>
        </w:rPr>
        <w:t>Subtítulo</w:t>
      </w:r>
      <w:r w:rsidR="00DD583F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</w:t>
      </w:r>
      <w:r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33.03 e incremento del </w:t>
      </w:r>
      <w:r w:rsidR="00DD583F">
        <w:rPr>
          <w:rFonts w:asciiTheme="majorHAnsi" w:hAnsiTheme="majorHAnsi" w:cstheme="majorHAnsi"/>
          <w:sz w:val="20"/>
          <w:szCs w:val="20"/>
          <w:lang w:val="es-MX"/>
        </w:rPr>
        <w:t>Subtítulo</w:t>
      </w:r>
      <w:r w:rsidR="00DD583F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</w:t>
      </w:r>
      <w:r w:rsidRPr="00395672">
        <w:rPr>
          <w:rFonts w:asciiTheme="majorHAnsi" w:hAnsiTheme="majorHAnsi" w:cstheme="majorHAnsi"/>
          <w:sz w:val="20"/>
          <w:szCs w:val="20"/>
          <w:lang w:val="es-MX"/>
        </w:rPr>
        <w:t>33.02.202 por un monto de M$100.000 correspondiente a la Dirección de Arquitectura.</w:t>
      </w:r>
    </w:p>
    <w:p w:rsidR="00F021DD" w:rsidRPr="00676B68" w:rsidRDefault="00A0349F" w:rsidP="00676B68">
      <w:pPr>
        <w:pStyle w:val="Prrafodelista"/>
        <w:numPr>
          <w:ilvl w:val="0"/>
          <w:numId w:val="11"/>
        </w:numPr>
        <w:spacing w:after="6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val="es-MX"/>
        </w:rPr>
      </w:pPr>
      <w:r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Mediante decreto DIPRES N°763 de 26/06/2024, se realizó una reducción presupuestaria </w:t>
      </w:r>
      <w:r w:rsidR="00F021DD" w:rsidRPr="00395672">
        <w:rPr>
          <w:rFonts w:asciiTheme="majorHAnsi" w:hAnsiTheme="majorHAnsi" w:cstheme="majorHAnsi"/>
          <w:sz w:val="20"/>
          <w:szCs w:val="20"/>
          <w:lang w:val="es-MX"/>
        </w:rPr>
        <w:t>del</w:t>
      </w:r>
      <w:r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</w:t>
      </w:r>
      <w:r w:rsidR="00DD583F">
        <w:rPr>
          <w:rFonts w:asciiTheme="majorHAnsi" w:hAnsiTheme="majorHAnsi" w:cstheme="majorHAnsi"/>
          <w:sz w:val="20"/>
          <w:szCs w:val="20"/>
          <w:lang w:val="es-MX"/>
        </w:rPr>
        <w:t>Subtítulo</w:t>
      </w:r>
      <w:r w:rsidR="00DD583F" w:rsidRPr="00395672">
        <w:rPr>
          <w:rFonts w:asciiTheme="majorHAnsi" w:hAnsiTheme="majorHAnsi" w:cstheme="majorHAnsi"/>
          <w:sz w:val="20"/>
          <w:szCs w:val="20"/>
          <w:lang w:val="es-MX"/>
        </w:rPr>
        <w:t xml:space="preserve"> </w:t>
      </w:r>
      <w:r w:rsidRPr="00395672">
        <w:rPr>
          <w:rFonts w:asciiTheme="majorHAnsi" w:hAnsiTheme="majorHAnsi" w:cstheme="majorHAnsi"/>
          <w:sz w:val="20"/>
          <w:szCs w:val="20"/>
          <w:lang w:val="es-MX"/>
        </w:rPr>
        <w:t>33.03 por un monto de M$20.000.000.</w:t>
      </w:r>
    </w:p>
    <w:p w:rsidR="00AF21D7" w:rsidRPr="00AF21D7" w:rsidRDefault="00AF21D7" w:rsidP="0081631D">
      <w:pPr>
        <w:pStyle w:val="Prrafodelista"/>
        <w:spacing w:after="60" w:line="240" w:lineRule="auto"/>
        <w:rPr>
          <w:rFonts w:asciiTheme="majorHAnsi" w:hAnsiTheme="majorHAnsi" w:cstheme="majorHAnsi"/>
          <w:b/>
          <w:sz w:val="20"/>
          <w:lang w:val="es-MX"/>
        </w:rPr>
      </w:pPr>
    </w:p>
    <w:p w:rsidR="00AF21D7" w:rsidRPr="00AF21D7" w:rsidRDefault="0081631D" w:rsidP="0081631D">
      <w:pPr>
        <w:pStyle w:val="Prrafodelista"/>
        <w:spacing w:after="60" w:line="240" w:lineRule="auto"/>
        <w:jc w:val="center"/>
        <w:rPr>
          <w:rFonts w:asciiTheme="majorHAnsi" w:hAnsiTheme="majorHAnsi" w:cstheme="majorHAnsi"/>
          <w:sz w:val="20"/>
          <w:lang w:val="es-MX"/>
        </w:rPr>
      </w:pPr>
      <w:r w:rsidRPr="00AF21D7">
        <w:rPr>
          <w:rFonts w:asciiTheme="majorHAnsi" w:hAnsiTheme="majorHAnsi" w:cstheme="majorHAnsi"/>
          <w:b/>
          <w:sz w:val="20"/>
          <w:lang w:val="es-MX"/>
        </w:rPr>
        <w:t xml:space="preserve">Tabla </w:t>
      </w:r>
      <w:r w:rsidR="00AF21D7" w:rsidRPr="00AF21D7">
        <w:rPr>
          <w:rFonts w:asciiTheme="majorHAnsi" w:hAnsiTheme="majorHAnsi" w:cstheme="majorHAnsi"/>
          <w:b/>
          <w:sz w:val="20"/>
          <w:lang w:val="es-MX"/>
        </w:rPr>
        <w:t>N°</w:t>
      </w:r>
      <w:r w:rsidR="00AF21D7">
        <w:rPr>
          <w:rFonts w:asciiTheme="majorHAnsi" w:hAnsiTheme="majorHAnsi" w:cstheme="majorHAnsi"/>
          <w:b/>
          <w:sz w:val="20"/>
          <w:lang w:val="es-MX"/>
        </w:rPr>
        <w:t>2</w:t>
      </w:r>
      <w:r w:rsidR="00AF21D7" w:rsidRPr="00AF21D7">
        <w:rPr>
          <w:rFonts w:asciiTheme="majorHAnsi" w:hAnsiTheme="majorHAnsi" w:cstheme="majorHAnsi"/>
          <w:sz w:val="20"/>
          <w:lang w:val="es-MX"/>
        </w:rPr>
        <w:t xml:space="preserve">: Resumen </w:t>
      </w:r>
      <w:r>
        <w:rPr>
          <w:rFonts w:asciiTheme="majorHAnsi" w:hAnsiTheme="majorHAnsi" w:cstheme="majorHAnsi"/>
          <w:sz w:val="20"/>
          <w:lang w:val="es-MX"/>
        </w:rPr>
        <w:t xml:space="preserve">iniciativas de inversión </w:t>
      </w:r>
      <w:r w:rsidR="00AF21D7" w:rsidRPr="00AF21D7">
        <w:rPr>
          <w:rFonts w:asciiTheme="majorHAnsi" w:hAnsiTheme="majorHAnsi" w:cstheme="majorHAnsi"/>
          <w:sz w:val="20"/>
          <w:lang w:val="es-MX"/>
        </w:rPr>
        <w:t>por región (en miles $)</w:t>
      </w:r>
    </w:p>
    <w:tbl>
      <w:tblPr>
        <w:tblW w:w="5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847"/>
        <w:gridCol w:w="2126"/>
      </w:tblGrid>
      <w:tr w:rsidR="00AF21D7" w:rsidRPr="0081631D" w:rsidTr="00476650">
        <w:trPr>
          <w:trHeight w:val="300"/>
          <w:jc w:val="center"/>
        </w:trPr>
        <w:tc>
          <w:tcPr>
            <w:tcW w:w="1980" w:type="dxa"/>
            <w:shd w:val="clear" w:color="auto" w:fill="F2F2F2" w:themeFill="background1" w:themeFillShade="F2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  <w:t>REGIÓN</w:t>
            </w:r>
          </w:p>
        </w:tc>
        <w:tc>
          <w:tcPr>
            <w:tcW w:w="1847" w:type="dxa"/>
            <w:shd w:val="clear" w:color="auto" w:fill="F2F2F2" w:themeFill="background1" w:themeFillShade="F2"/>
            <w:noWrap/>
            <w:vAlign w:val="center"/>
            <w:hideMark/>
          </w:tcPr>
          <w:p w:rsidR="00AF21D7" w:rsidRPr="0081631D" w:rsidRDefault="0081631D" w:rsidP="008163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  <w:t xml:space="preserve">MONTO 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  <w:t>PROYECTADO</w:t>
            </w:r>
            <w:r w:rsidRPr="0081631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  <w:t xml:space="preserve"> 2024</w:t>
            </w:r>
          </w:p>
        </w:tc>
        <w:tc>
          <w:tcPr>
            <w:tcW w:w="2126" w:type="dxa"/>
            <w:shd w:val="clear" w:color="auto" w:fill="F2F2F2" w:themeFill="background1" w:themeFillShade="F2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  <w:t>EJECUCIÓN ACUMULADA A JUNIO</w:t>
            </w:r>
          </w:p>
        </w:tc>
      </w:tr>
      <w:tr w:rsidR="00AF21D7" w:rsidRPr="0081631D" w:rsidTr="00476650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b/>
                <w:color w:val="000000"/>
                <w:sz w:val="20"/>
                <w:lang w:eastAsia="es-CL"/>
              </w:rPr>
              <w:t>BIOBÍO</w:t>
            </w:r>
          </w:p>
        </w:tc>
        <w:tc>
          <w:tcPr>
            <w:tcW w:w="1847" w:type="dxa"/>
            <w:shd w:val="clear" w:color="auto" w:fill="auto"/>
            <w:noWrap/>
            <w:vAlign w:val="center"/>
            <w:hideMark/>
          </w:tcPr>
          <w:p w:rsidR="00AF21D7" w:rsidRPr="0081631D" w:rsidRDefault="00AF21D7" w:rsidP="00AF21D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  <w:t>84.464.260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  <w:t>56.618.377</w:t>
            </w:r>
          </w:p>
        </w:tc>
      </w:tr>
      <w:tr w:rsidR="00AF21D7" w:rsidRPr="0081631D" w:rsidTr="00476650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b/>
                <w:color w:val="000000"/>
                <w:sz w:val="20"/>
                <w:lang w:eastAsia="es-CL"/>
              </w:rPr>
              <w:t>LA ARAUCANÍA</w:t>
            </w:r>
          </w:p>
        </w:tc>
        <w:tc>
          <w:tcPr>
            <w:tcW w:w="1847" w:type="dxa"/>
            <w:shd w:val="clear" w:color="auto" w:fill="auto"/>
            <w:noWrap/>
            <w:vAlign w:val="center"/>
            <w:hideMark/>
          </w:tcPr>
          <w:p w:rsidR="00AF21D7" w:rsidRPr="0081631D" w:rsidRDefault="00AF21D7" w:rsidP="00AF21D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  <w:t>188.542.760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  <w:t>87.068.809</w:t>
            </w:r>
          </w:p>
        </w:tc>
      </w:tr>
      <w:tr w:rsidR="00AF21D7" w:rsidRPr="0081631D" w:rsidTr="00476650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b/>
                <w:color w:val="000000"/>
                <w:sz w:val="20"/>
                <w:lang w:eastAsia="es-CL"/>
              </w:rPr>
              <w:t>LOS LAGOS</w:t>
            </w:r>
          </w:p>
        </w:tc>
        <w:tc>
          <w:tcPr>
            <w:tcW w:w="1847" w:type="dxa"/>
            <w:shd w:val="clear" w:color="auto" w:fill="auto"/>
            <w:noWrap/>
            <w:vAlign w:val="center"/>
            <w:hideMark/>
          </w:tcPr>
          <w:p w:rsidR="00AF21D7" w:rsidRPr="0081631D" w:rsidRDefault="00AF21D7" w:rsidP="00AF21D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  <w:t>25.740.228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  <w:t>15.554.270</w:t>
            </w:r>
          </w:p>
        </w:tc>
      </w:tr>
      <w:tr w:rsidR="00AF21D7" w:rsidRPr="0081631D" w:rsidTr="00476650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b/>
                <w:color w:val="000000"/>
                <w:sz w:val="20"/>
                <w:lang w:eastAsia="es-CL"/>
              </w:rPr>
              <w:t>LOS RÍOS</w:t>
            </w:r>
          </w:p>
        </w:tc>
        <w:tc>
          <w:tcPr>
            <w:tcW w:w="1847" w:type="dxa"/>
            <w:shd w:val="clear" w:color="auto" w:fill="auto"/>
            <w:noWrap/>
            <w:vAlign w:val="center"/>
            <w:hideMark/>
          </w:tcPr>
          <w:p w:rsidR="00AF21D7" w:rsidRPr="0081631D" w:rsidRDefault="00AF21D7" w:rsidP="00AF21D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  <w:t>37.957.145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color w:val="000000"/>
                <w:sz w:val="20"/>
                <w:lang w:eastAsia="es-CL"/>
              </w:rPr>
              <w:t>19.503.189</w:t>
            </w:r>
          </w:p>
        </w:tc>
      </w:tr>
      <w:tr w:rsidR="00AF21D7" w:rsidRPr="0081631D" w:rsidTr="00476650">
        <w:trPr>
          <w:trHeight w:val="300"/>
          <w:jc w:val="center"/>
        </w:trPr>
        <w:tc>
          <w:tcPr>
            <w:tcW w:w="1980" w:type="dxa"/>
            <w:shd w:val="clear" w:color="auto" w:fill="F2F2F2" w:themeFill="background1" w:themeFillShade="F2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  <w:t>TOTAL</w:t>
            </w:r>
          </w:p>
        </w:tc>
        <w:tc>
          <w:tcPr>
            <w:tcW w:w="1847" w:type="dxa"/>
            <w:shd w:val="clear" w:color="auto" w:fill="F2F2F2" w:themeFill="background1" w:themeFillShade="F2"/>
            <w:noWrap/>
            <w:vAlign w:val="center"/>
            <w:hideMark/>
          </w:tcPr>
          <w:p w:rsidR="00AF21D7" w:rsidRPr="0081631D" w:rsidRDefault="00AF21D7" w:rsidP="00AF21D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  <w:t>336.704.393</w:t>
            </w:r>
          </w:p>
        </w:tc>
        <w:tc>
          <w:tcPr>
            <w:tcW w:w="2126" w:type="dxa"/>
            <w:shd w:val="clear" w:color="auto" w:fill="F2F2F2" w:themeFill="background1" w:themeFillShade="F2"/>
            <w:noWrap/>
            <w:vAlign w:val="center"/>
            <w:hideMark/>
          </w:tcPr>
          <w:p w:rsidR="00AF21D7" w:rsidRPr="0081631D" w:rsidRDefault="0081631D" w:rsidP="00AF21D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</w:pPr>
            <w:r w:rsidRPr="0081631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lang w:eastAsia="es-CL"/>
              </w:rPr>
              <w:t>178.744.644</w:t>
            </w:r>
          </w:p>
        </w:tc>
      </w:tr>
    </w:tbl>
    <w:p w:rsidR="00FC2B41" w:rsidRDefault="00FC2B41">
      <w:pPr>
        <w:rPr>
          <w:rFonts w:asciiTheme="majorHAnsi" w:hAnsiTheme="majorHAnsi" w:cstheme="majorHAnsi"/>
          <w:b/>
          <w:sz w:val="20"/>
          <w:lang w:val="es-MX"/>
        </w:rPr>
      </w:pPr>
    </w:p>
    <w:p w:rsidR="0081631D" w:rsidRPr="00AF21D7" w:rsidRDefault="0081631D" w:rsidP="0081631D">
      <w:pPr>
        <w:pStyle w:val="Prrafodelista"/>
        <w:spacing w:after="60" w:line="240" w:lineRule="auto"/>
        <w:jc w:val="center"/>
        <w:rPr>
          <w:rFonts w:asciiTheme="majorHAnsi" w:hAnsiTheme="majorHAnsi" w:cstheme="majorHAnsi"/>
          <w:sz w:val="20"/>
          <w:lang w:val="es-MX"/>
        </w:rPr>
      </w:pPr>
      <w:r>
        <w:rPr>
          <w:rFonts w:asciiTheme="majorHAnsi" w:hAnsiTheme="majorHAnsi" w:cstheme="majorHAnsi"/>
          <w:b/>
          <w:sz w:val="20"/>
          <w:lang w:val="es-MX"/>
        </w:rPr>
        <w:t xml:space="preserve">Anexo </w:t>
      </w:r>
      <w:r w:rsidRPr="00AF21D7">
        <w:rPr>
          <w:rFonts w:asciiTheme="majorHAnsi" w:hAnsiTheme="majorHAnsi" w:cstheme="majorHAnsi"/>
          <w:b/>
          <w:sz w:val="20"/>
          <w:lang w:val="es-MX"/>
        </w:rPr>
        <w:t>N°</w:t>
      </w:r>
      <w:r>
        <w:rPr>
          <w:rFonts w:asciiTheme="majorHAnsi" w:hAnsiTheme="majorHAnsi" w:cstheme="majorHAnsi"/>
          <w:b/>
          <w:sz w:val="20"/>
          <w:lang w:val="es-MX"/>
        </w:rPr>
        <w:t>1</w:t>
      </w:r>
      <w:r w:rsidRPr="00AF21D7">
        <w:rPr>
          <w:rFonts w:asciiTheme="majorHAnsi" w:hAnsiTheme="majorHAnsi" w:cstheme="majorHAnsi"/>
          <w:sz w:val="20"/>
          <w:lang w:val="es-MX"/>
        </w:rPr>
        <w:t xml:space="preserve">: </w:t>
      </w:r>
      <w:r>
        <w:rPr>
          <w:rFonts w:asciiTheme="majorHAnsi" w:hAnsiTheme="majorHAnsi" w:cstheme="majorHAnsi"/>
          <w:sz w:val="20"/>
          <w:lang w:val="es-MX"/>
        </w:rPr>
        <w:t>Detalle i</w:t>
      </w:r>
      <w:r w:rsidRPr="0081631D">
        <w:rPr>
          <w:rFonts w:asciiTheme="majorHAnsi" w:hAnsiTheme="majorHAnsi" w:cstheme="majorHAnsi"/>
          <w:sz w:val="20"/>
          <w:lang w:val="es-MX"/>
        </w:rPr>
        <w:t xml:space="preserve">niciativas de inversión </w:t>
      </w:r>
      <w:r w:rsidRPr="00AF21D7">
        <w:rPr>
          <w:rFonts w:asciiTheme="majorHAnsi" w:hAnsiTheme="majorHAnsi" w:cstheme="majorHAnsi"/>
          <w:sz w:val="20"/>
          <w:lang w:val="es-MX"/>
        </w:rPr>
        <w:t>(en miles $)</w:t>
      </w: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1134"/>
        <w:gridCol w:w="1076"/>
        <w:gridCol w:w="1475"/>
        <w:gridCol w:w="1134"/>
        <w:gridCol w:w="1134"/>
        <w:gridCol w:w="1134"/>
        <w:gridCol w:w="709"/>
      </w:tblGrid>
      <w:tr w:rsidR="0010716F" w:rsidRPr="006B2565" w:rsidTr="00121BB9">
        <w:trPr>
          <w:trHeight w:val="407"/>
          <w:tblHeader/>
          <w:jc w:val="center"/>
        </w:trPr>
        <w:tc>
          <w:tcPr>
            <w:tcW w:w="113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REGIÓN</w:t>
            </w:r>
          </w:p>
        </w:tc>
        <w:tc>
          <w:tcPr>
            <w:tcW w:w="992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PROVINCIA</w:t>
            </w:r>
          </w:p>
        </w:tc>
        <w:tc>
          <w:tcPr>
            <w:tcW w:w="1276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COMUNA</w:t>
            </w:r>
          </w:p>
        </w:tc>
        <w:tc>
          <w:tcPr>
            <w:tcW w:w="1134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DIRECCIÓN</w:t>
            </w:r>
          </w:p>
        </w:tc>
        <w:tc>
          <w:tcPr>
            <w:tcW w:w="1076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BIP</w:t>
            </w:r>
          </w:p>
        </w:tc>
        <w:tc>
          <w:tcPr>
            <w:tcW w:w="147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0716F" w:rsidRPr="006B2565" w:rsidRDefault="0010716F" w:rsidP="0010716F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NOMBRE PROYECTO</w:t>
            </w:r>
          </w:p>
        </w:tc>
        <w:tc>
          <w:tcPr>
            <w:tcW w:w="1134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MONTO PROYECTADO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EJECUCIÓN ACUMULADA</w:t>
            </w:r>
          </w:p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JULIO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0716F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ESTADO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716F" w:rsidRPr="006B2565" w:rsidRDefault="0010716F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AVANCE</w:t>
            </w:r>
          </w:p>
        </w:tc>
      </w:tr>
      <w:tr w:rsidR="00121BB9" w:rsidRPr="006B2565" w:rsidTr="00121BB9">
        <w:trPr>
          <w:trHeight w:val="572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CARAHUE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PORTUARIAS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30482320-0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BORDE FLUVIAL SECTOR CENDYR NAUTICO DE CARAHUE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</w:pPr>
            <w:r w:rsidRPr="006B2565"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  <w:t>450.000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</w:pPr>
            <w:r w:rsidRPr="006B2565"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  <w:t>251.917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TERMINADO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CARAHUE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40031093-0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REPOSICIÓN VARIOS PUENTES MENORES REGIÓN DE LA ARAUCANÍA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</w:pPr>
            <w:r w:rsidRPr="006B2565"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  <w:t>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</w:pPr>
            <w:r w:rsidRPr="006B2565"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CARAHUE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30181672-0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S-138 SECTOR: TRANAPUENTE - LIMITE REGIONAL NORTE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</w:pPr>
            <w:r w:rsidRPr="006B2565"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  <w:t>432.632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</w:pPr>
            <w:r w:rsidRPr="006B2565"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TERMINADO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CARAHUE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40020287-0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MIXTA CAMINOS RED VIAL REGION DE LA ARAUCANIA 2021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</w:pPr>
            <w:r w:rsidRPr="006B2565"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  <w:t>7.780.451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</w:pPr>
            <w:r w:rsidRPr="006B2565">
              <w:rPr>
                <w:rFonts w:asciiTheme="majorHAnsi" w:eastAsia="Times New Roman" w:hAnsiTheme="majorHAnsi" w:cstheme="majorHAnsi"/>
                <w:bCs/>
                <w:color w:val="000000"/>
                <w:sz w:val="18"/>
                <w:szCs w:val="18"/>
                <w:lang w:eastAsia="es-CL"/>
              </w:rPr>
              <w:t>4.120.276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CARAHUE, SAAVEDRA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30481272-0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MIXTA CAMINOS RED VIAL IX REGIÓN (2018 - 2022)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4.965.850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2.859.026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95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CHOLCHOL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40016167-0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CONSERVACIÓN, MANTENCIÓN Y AMPLIACIÓN SISTEMAS APR, REGIÓN DE LA ARAUCANÍA (GLOSA 05)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83.259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64.645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CHOLCHOL, GALVARINO, NUEVA IMPERIAL, 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30371076-0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MIXTA RED VIAL IX REGION 2016-2020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24.458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CHOLCHOL, GALVARINO, NUEVA IMPERIAL, 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40038513-0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MIXTA CAMINOS RED VIAL REGION DE LA ARAUCANIA 2023-2027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13.214.619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7.796.837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CUNCO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30107046-0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CONSTRUCCIÓN CONEXIÓN VIAL LAGO COLICO-PLAYA BLANCA CABURGUA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60.930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36.772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99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CUNCO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40027818-0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RED VIAL REGION DE LA ARAUCANIA 2020-2022 PLAN RECUPERACION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3.737.622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3.331.886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18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CUNCO, 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30482963-0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PAVIMENTO RUTA S-51, TRAMO PADRE LAS CASAS-CUNCO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125.617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CURARREHUE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30485885-0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CONSTRUCCIÓN SISTEMA APR PUENTE BASA GRANDE, COMUNA DE CURRAHUE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116.241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2.202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MODIFICACIÓN DE CONTRATO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FREIRE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40007081-0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SISTEMA APR CHIHUIMPILLI Y AMPLIACION A IMILCO,MILLALI, LAS QUILAS, FREIRE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119.238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FREIRE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30082374-0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INSTALACION SISTEMA DE AGUA POTABLE RURAL PEDREGOSO, FREIRE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777.668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FREIRE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40025154-0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CONSERVACIÓN EQUIPAMIENTO </w:t>
            </w: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TECNOLÓGICO PLAZA DE PEAJE TUNEL LAS RAÍCES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63.953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FREIRE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40002704-0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EN COMUNIDADES INDIGENAS 2019 REGION DE LA ARAUCANIA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5.546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FREIRE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40025844-0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CAMINO BÁSICO INTERMEDIO  ACCESO QUILAS BAJAS, FREIRE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1.981.517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1.283.324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95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FREIRE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40019598-0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CBI ALLIPÉN FOLILCO LAFQUÉN, FREIRE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2.174.543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116.485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27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FREIRE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40037803-0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S-443 CAMINO QUEPE PRADOS DE HUICHAHUE, 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5.522.609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1.884.278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FREIRE, PITRUFQUEN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40011169-0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RED VIAL REGIÓN DE LA ARAUCANIA 2020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76.264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LICITACIÓN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FREIRE, 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40046654-0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RED VIAL PROVINCIA DE CAUTIN 2023 - 2025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4.188.940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3.354.866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GALVARINO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40017277-0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S-192, GALVARINO - RUCATRARO, TRAMO DM 0 A DM 12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567.297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432.411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TERMINADO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14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GORBEA, PITRUFQUEN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40030677-0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MIXTA CAMINOS RED VIAL REGION DE LA ARAUCANIA 2022-2026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14.408.284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8.677.564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GORBEA, PITRUFQUEN, TOLTEN, 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30482066-0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GLOBAL MIXTO REGIÓN DE LA ARAUCANÍA 2017 - 2021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133.842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HUALPIN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20153304-2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RUTAS S-</w:t>
            </w:r>
            <w:proofErr w:type="gram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46 ,S</w:t>
            </w:r>
            <w:proofErr w:type="gramEnd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-618 SECTOR: PTO. DOMÍNGUEZ - HUALPÍN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LAUTARO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40021869-0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AMPLIACIÓN SISTEMA DE APR LA COLONIA HACIA EL SECTOR SOLOYO, LAUTARO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1.849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73.767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81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LAUTARO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30076636-0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REPOSICIÓN PUENTE MUCO, LAUTARO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26.143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LAUTARO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40056895-0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COMUNIDADES INDIGENAS CAUTIN Y MALLECO 2023-2025 BUEN VIVIR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4.841.434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78.721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95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LAUTARO, PERQUENCO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40052889-0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CBI HUALLEPENCO RINCONADA, PERQUENCO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3.837.273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LONCOCHE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30101997-0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CONSTRUCCION DEFENSAS FLUVIALES RÍO CRUCES Y ESTERO LONCOCHE, SECTOR URBANO DE LONCOCHE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LONCOCHE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955.771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277.210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LONCOCHE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40027952-0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SISTEMAS APR, REGION DE LA ARAUCANIA, GLOSA 05 APR (PREFACT.,FACT.,DISEÑO)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13.046.238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3.510.326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LONCOCHE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40002696-0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CAMINOS BÁSICOS REGIÓN DE LA ARAUCANÍA 2019-2020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666.028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1.399.341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89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MELIPEUCO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40046643-0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RED VIAL PROVINCIA DE MALLECO Y CAUTIN 2023 - 2025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12.355.678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11.145.702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NUEVA IMPERIAL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40025997-0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CONSERVACION OBRAS DE RIEGO FISCALES REGION </w:t>
            </w: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DE LA ARAUCANIA 2020 - 2023 - RECUP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5.473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46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NUEVA IMPERIAL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40027158-0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SISTEMA DE RIEGO PARA DESARROLLO AGRICOLA, CANAL IMPERIAL N. IMPERIAL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1.175.715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609.298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81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NUEVA IMPERIAL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40047587-0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OBRAS FISCALES DE RIEGO REGION DE LA ARAUCANIA 2024 - 2025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1.300.000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56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NUEVA IMPERIAL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40026698-0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PARCIAL SAPR IMPERIALITO Y AMPLIACION HACIA LOLOCURA, NVA. IMPERIAL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1.748.065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1.065.554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NUEVA IMPERIAL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40018637-0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CBI IMPERIAL CARAHUE POR EL BAJO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173.759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28.691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NUEVA IMPERIAL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40026906-0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CRUCE S-52 (CANCURA) -BOLDO HUACHO - CRUCE S-482, NUEVA IMPERIAL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241.968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143.394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NUEVA IMPERIAL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40027817-0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RED VIAL REGION DE LA ARAUCANIA 2020-2022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2.699.181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1.617.028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NUEVA IMPERIAL, 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30458988-0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CBI MAQUEHUE BOROA- PUENTE RAGNINTULEUFU, P.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89.646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11.177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40039443-0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DE RIBERAS DE CAUCES NATURALES REGION DE LA ARAUCANIA 2022 - 2026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747.992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1.072.381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LICITACIÓN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PADRE LAS CASAS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40035350-0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INSTALACION SISTEMA AGUA POTABLE RURAL MOLCO QUEPE, 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335.766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92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PADRE LAS CASAS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40037945-0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SEQUÍA 2022 - 2023 REGIÓN DE LA ARAUCANIA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1.223.379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426.196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30458973-0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CBI CAMINO QUEPE-PRADOS DE HUICHAHUE, 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91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40020021-0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VARIANTE ZANJA KM 0 AL 2, 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26.949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1.949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LICITACIÓN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30388735-0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ACCESO NORPONIENTE A 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170.438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62.848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PADRE LAS CASAS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40035399-0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RED VIAL REGION DE LA ARAUCANIA PERIODO 2021-2023 PLAN DE RECUPERACIÓN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926.918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153.908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PADRE LAS CASAS, 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40010186-0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INFRAESTRUCTURA AGUAS LLUVIAS DE TEMUCO 2019 - 2022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101.086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110.781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99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PITRUFQUEN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30098257-0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CONSTRUCCIÓN CANALES SECUNDARIOS Y TERCIARIOS SISTEMA DE REGADÍO COMUY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108.869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PITRUFQUEN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40031680-0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REPOSICIÓN SISTEMA DE AGUA POTABLE RURAL LOICA PULON, PITRUFQUÉN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91.872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213.814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PUCÓN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AEROPUERTOS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40019910-0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Y MEJORAMIENTO AERÓDROMO DE PUCÓN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50.288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49.778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PUCÓN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30483037-0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25.218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24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SAAVEDRA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40026294-0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CAMINO BY PASS SAAVEDRA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20.170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TERMINADO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83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30034469-0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MEJORAMIENTO EST.BOTROLHUE Y HABILITACION </w:t>
            </w: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DESCARGA RIO CAUTIN, TCO.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100.000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20188580-0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COLECTOR INTERCEPTOR AGUAS LLUVIAS SANTA ROSA, 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1.700.000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1.260.447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MODIFICACION DE CONTRATO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30063942-0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CONSTRUCCIÓN COLECTOR INTERCEPTOR AGUAS LLUVIAS SAN MARTÍN, 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3.440.229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128.806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30094237-0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Y AMPLIACION SISTEMA DE AGUA POTABLE RURAL MOLLULCO, 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180.901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30371043-0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CAMINOS BÁSICOS REGIÓN DE LA ARAUCANIA 2016-2018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20187901-0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CONSTRUCCIÓN NUEVO PUENTE CAUTÍN EN CAJÓN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1.156.000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TERMINADO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40016546-0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CAMINO BASICO INTERMEDIO LAS HORTENSIAS QUECHEREHUE COLICO, COMUNA CUNCO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115.638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108.645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30081385-0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PAVIMENTO RUTA S-20 TEMUCO-CHOLCHOL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182.442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MODIFICACION DE CONTRATO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40029496-0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BASICOS REGION DE LA ARAUCANIA 2021 - 2022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2.038.876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1.981.570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40011167-0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BASICOS REGION DE LA ARAUCANIA 2020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2.972.547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2.169.510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40038515-0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CONSERVACION GLOBAL DE </w:t>
            </w: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CAMINOS REGION DE LA ARAUCANIA 2023-2025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5.766.608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2.189.355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TOLTEN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PORTUARIAS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40011984-0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OBRAS PORTUARIAS REGION DE LA ARAUCANIA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65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TOLTEN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PORTUARIAS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30482321-0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BORDE COSTERO CALETA LA BARRA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1.191.420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268.478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TOLTEN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30460155-0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CONEXION VIAL BALSAS RIO TOLTEN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38.823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75.395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TOLTEN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30276122-0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S-70 SECTOR: POCOYAN - PUENTE PEULE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6.400.612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3.453.140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VILCUN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30348928-0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CONSTRUCCIÓN SISTEMA AGUA POTABLE RURAL VILUCO, COLLIN Y VEGA REDONDA, COMUNA DE VILCÚN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VILCUN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40046641-0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BASICOS PROVINCIA DE MALLECO Y CAUTIN 2023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14.622.747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7.540.308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MODIFICACION DE CONTRATO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VILLARRICA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40006345-0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SISTEMA APR LLAULLAU y AMPLIACIÓN HACIA EL SECTOR EL PIRAO,  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1.552.918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1.074.492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40020211-0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CBI PUTUE BAJO RINCONADA Y CRUCE RUTA S-91 RINCONADA, 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81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40012457-0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PUENTE ALLIPEN Y ACCESOS EN RUTA S-69. SECTOR: LOS LAURELES-PEDREGOSO, CUNCO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7.131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30466033-0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PASADA URBANA RUTA S-95-T EN LA CIUDAD DE 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44.858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30136611-0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CAMINO BÁSICO INTERMEDIO 2ª FAJA EL VOLCAN (VILLARRICA)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46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30483236-0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CONEXION VIAL RIBERA NORTE LAGO VILLARRICA. S: LAGUNA LAS RANAS-RIO PLATA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126.815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29.525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30460172-0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S-95-T SECTOR:VILLARRICA - LICAN RAY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205.692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106.393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69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CAUTÍN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30231672-0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RUTA S-839 (SEGUNDA FAJA AL VOLCAN) VILLARRICA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13.524.047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3.340.605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INTER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PERQUENCO, VICTORIA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30002745-0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SISTEMA DE REGADIO LAS VERTIENTES - PUA, REGION DE LA ARAUCANIA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1.079.857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231.149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INTER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MELIPEUCO, ANGOL, CURACAUTIN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30464383-0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CBI VARIOS CAMINOS ARAUCANÍA 2017-2018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200.313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INTER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TEMUCO, ANGOL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40031194-0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CBI DE VARIOS CAMINOS ARAUCANIA ETAPA 1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504.319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189.349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</w:t>
            </w:r>
          </w:p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PROVINCIAL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MELIPEUCO, LONQUIMAY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30461075-0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S-61 SECTOR: MELIPEUCO - ICALMA - PASO ICALMA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4.762.597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9.802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LICITACIÓN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INTER</w:t>
            </w:r>
          </w:p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PROVINCIAL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TEMUCO, ANGOL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40030672-0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DE CAMINOS REGION DE LA ARAUCANIA 2022-2025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6.581.796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3.230.286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INTER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INTER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40023375-0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SISTEMAS DE APR POR SEQUÍA, REGIÓN DE LA ARAUCANIA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249.867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209.965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ANGOL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40002724-0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RED VIAL REGION DE LA ARAUCANIA AÑOS 2019-2021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97.038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103.942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ANGOL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40020285-0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CAMINOS RED VIAL DE LA ARAUCANIA 2021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1.997.139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1.044.694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CURACAUTIN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40030969-0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SISTEMA DE AGUA POTABLE RURAL SANTA JULIA, CURACAUTÍN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196.914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CURACAUTIN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40021127-0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CONSTRUCCIÓN SISTEMA DE AGUA POTABLE RURAL RADALCO, CURACAUTÍN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533.340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359.775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61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CURACAUTIN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30080831-0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REPOSICIÓN RUTA 181-CH CURACAUTÍN MALALCAHUELLO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881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CURACAUTIN, VICTORIA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30132761-0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181-CH SECTOR: VICTORIA-CURACAUTIN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17.142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4.283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LONQUIMAY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30463675-0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INSTALACION SISTEMA APR  PEHUENCO, LONQUIMAY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235.342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LONQUIMAY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40008481-0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SISTEMA AGUA POTABLE RURAL EL NARANJO, LONQUIMAY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294.362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LONQUIMAY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30068174-0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SISTEMA APR ICALMA,Y AMPLIACION A SECTOR PEHUENCHE, COMUNA DE LONQUIMAY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810.192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260.246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LONQUIMAY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40039749-0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ELEMENTOS SEG VIAL RED VIAL ARAUCANÍA 2022-2023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8.353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LONQUIMAY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40012482-0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R-95, LIUCURA-ICALMA, LONQUIMAY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108.310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71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LONQUIMAY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40027996-0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PLAN INDÍGENA REGIÓN DE LA ARAUCANIA 2020 PLAN DE RECUPERACION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1.820.174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522.969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SAUCES, TRAIGUEN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30107157-0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R-86 SECTOR: LOS SAUCES-TRAIGUEN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3.754.111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97.756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LUMACO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30099413-0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OBRAS FLUVIALES RÍO LUMACO - LUMACO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268.065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114.638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PUREN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30370477-0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PLAN INDIGENA 2016 R. DE LA ARAUCANIA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69.188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54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RENAICO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40029650-0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RED VIAL REGION DE LA ARAUCANIA 2021 GLOSA 7 URBANA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15.252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TRAIGUEN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40011171-0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PLAN INDIGENA REGION DE LA ARAUCANIA 2020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286.517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294.432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VICTORIA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30136983-0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PARCIAL SISTEMA DE AGUA POTABLE SELVA OSCURA - VICTORIA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496.511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401.683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VICTORIA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40020186-0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CBI INSPECTOR FERNÁNDEZ - LAGUNA MALLECO S: PUENTE COLO-V.  OHIGGINS, VICTORIA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391.200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73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ARAUCANÍA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MALLECO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VILCÚN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30481243-0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RED VIAL REGIÓN DE LA ARAUCANIA (2018 - 2020)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73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40029482-0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SISTEMA SANITARIO RURAL COLLICO, COMUNA DE CAÑETE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TERMINADO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40029295-0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SISTEMA SANITARIO RURAL CALETA LAS PEÑAS COMUNA DE ARAUCO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18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30286872-0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PUENTE LARAQUETE, COMUNA DE ARAUCO, PROVINCIA DE ARAUCO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49.105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TERMINADO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40046657-0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COMUNIDADES INDIGENAS PROVINCIA DE ARAUCO Y BIOBIO 2023-2024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2.494.250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1.167.832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ARAUCO, CAÑETE, LOS ALAMOS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40027103-0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BASICOS REGION DEL BIOBIO 2020(PLAN DE RECUPERACION)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3.552.464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25.973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ARAUCO, CURANILAHUE, LEBU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40002712-0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CONSERVACION GLOBAL MIXTA CAMINOS RED VIAL REGION DEL 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(2019-2024)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9.889.206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7.937.563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93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ARAUCO, TIRUA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PORTUARIAS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40027033-0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OBRAS PORTUARIAS REGION DEL BIOBIO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247.725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146.313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CAÑETE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40029483-0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SISTEMA SANITARIO RURAL LLONCAO PAICAVI, COMUNA DE CAÑETE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3.804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CAÑETE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40029298-0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SISTEMA SANITARIO RURAL LAUTARO ANTIQUINA, COMUNA DE CAÑETE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5.158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CAÑETE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40050447-0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SERVICIO SANITARIO RURAL DE LAUTARO ANTIQUINA COMUNA DE CAÑETE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215.999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CAÑETE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40020364-0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SERVICIO SANITARIO RURAL DE TUCAPEL ALTO, CAÑETE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1.966.755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437.065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CAÑETE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40027842-0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CONSERVACION RED VIAL REGION DEL 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2020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115.332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6.563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45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CAÑETE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40002721-0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CONSERVACION CAMINOS PLAN INDIGENA 2019 REGION DEL 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329.250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213.749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94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CAÑETE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40027106-0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RED VIAL REGION DEL BIOBIO 2020(PLAN DE RECUPERACION)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963.793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779.667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36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CAÑETE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40031617-0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PLAN INDIGENA REGION DEL BIOBIO 2021 (PLAN DE RECUPERACIÓN)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1.655.479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849.037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CAÑETE, CONTULMO, TIRUA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40029493-0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DE CAMINOS VIII REGION AÑO 2020 -2022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3.145.980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3.178.222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71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CAÑETE, CONTULMO, TIRUA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40046675-0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RED VIAL PROVINCIA DE BIO-BIO 2023-2025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4.476.603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4.435.393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CONTULMO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HIDRAÚLICAS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40026201-0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DIAGNOSTICO PLAN MAESTRO DE RÍO ELICURA Y AFLUENTES, </w:t>
            </w: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COMUNA DE CONTULMO REGIÓN DEL BIOBÍO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244.169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151.235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LEBU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PORTUARIAS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30366073-0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VIA DE NAVEGACION RIO LEBU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3.475.396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2.362.035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LEBU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40042151-0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ESTANQUES 2022 - 2023 REGIÓN DEL BIOBIO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13.148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12.098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LEBU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40046663-0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BASICOS PROVINCIA DE BIO-BIO 2023-2025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5.312.427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4.774.889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LEBU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40046662-0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RED VIAL PROVINCIAS DE ARAUCO Y BIOBIO 2023-2025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10.941.388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9.360.511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ALAMOS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40041762-0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SSR DE SARA DE LEBU, COMUNA DE LOS ÁLAMOS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353.057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342.254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TIRUA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OBRAS PORTUARIAS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40047075-0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FRENTE DE ATRAQUE CALETA QUIDICO, TIRUA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TIRUA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40029484-0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SISTEMA SANITARIO RURAL TIRÚA, COMUNA DE TIRUA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310.571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310.571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TIRUA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30123855-0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REPOSICIÓN RUTA P-70 PELECO - TIRÚA, ARAUCO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TIRUA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40011105-0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PLAN INDIGENA REGION DEL BIOBIO 2020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371.937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113.816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ARAUCO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TIRUA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30370479-0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CONSERVACION CAMINOS PLAN INDIGENA 2016 REGION DEL 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447.862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195.151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ALTO 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40047694-0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DE SEGURIDAD EN ZONAS DE ESCUELA 2023-2024 REGIÓN DE BIOBIO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71.057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61.417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ALTO 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40025855-0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REPOSICIÓN PUENTE CHICHINTAHUE, ALTO BIOBÍO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467.300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1.198.899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CABRERO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40011102-0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GLOBAL MIXTA CAMINOS RED VIAL REGION DEL BIOBIO 2020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18.912.626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10.702.491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CABRERO, NACIMIENTO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40029299-0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SISTEMA SANITARIO  RURAL EL PROGRESO COMUNA DE CABRERO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LAJA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40004534-0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PTE. LAJA EN RUTA N-59-Q, COMUNA DE TUCAPEL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ANGELES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AEROPUERTOS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40036659-0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DIAGNÓSTICO Y ANÁLISIS DE DEMANDA AÉREA DEL AERÓDROMO MARÍA DOLORES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ANGELES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40020710-0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SERVICIO SANITARIO RURAL DE EL ROSAL - VILLA ALEGRE, COMUNA DE LOS ANGELES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177.497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205.495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ANGELES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40044631-0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SSR LAS DELICIAS, COMUNA DE LOS ÁNGELES, REGIÓN DEL BIOBIO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313.908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301.193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ANGELES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40020356-0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SERVICIO SANITARIO RURAL DE ARRAYAN - LAS VIOLETAS, LOS ANGELES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1.022.935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857.783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ANGELES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30145872-0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Q-30, LA MONA-ALAMO HUACHO, LOS ANGELES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MULCHEN, NEGRETE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30259523-0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MEJORAMIENTO RUTA Q-806 CRUCE RUTA 5 MULCHÉN - </w:t>
            </w: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 xml:space="preserve">NEGRETE, PROVINCIA 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7.086.336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5.881.859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MULCHEN, QUILACO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20090722-1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RUTAS Q-75 - MULCHÉN - QUILACO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2.137.733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NACIMIENTO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40030393-0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CBI RUTA Q340, CRUCE RUTA Q380 (PTE. BAUTMANN) - CRUCE RUTA q350 , NACIMIENTO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170.981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22.412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NEGRETE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40042150-0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SONDAJES SSR RIHUE Y SSR COIGÜE, COMUNA DE NEGRETE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5.325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QUILLECO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40044633-0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SSR CANTERAS, COMUNA DE QUILLECO, REGIÓN DEL BIOBÍO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16.743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15.965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SAN ROSENDO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40035356-0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SERVICIO SANITARIO RURAL DE TURQUÍA, COMUNA DE SAN ROSENDO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171.201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231.159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TUCAPEL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40027219-0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PUENTE CUPAÑO EN RUTA P-464, PROVINCIA DE ARAUCO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55.327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26.801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TERMINADO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TUCAPEL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40027217-0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PUENTE HUEPIL EN RUTA Q-975, COMUNA DE TUCAPEL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59.196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15.902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YUMBEL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30281072-0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O-54 YUMBEL-YUMBEL ESTACION, PROV. BIOBIO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TERMINADO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INTER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FLORIDA, SAN PEDRO DE LA PAZ, SANTA JUANA, ARAUCO, CAÑETE, CONTULMO, CURANILAHUE, </w:t>
            </w: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LEBU, LOS ALAMOS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40030384-0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RUTA P-436, CRUCE RUTA 160 (LOS RIOS) - CRUCE RUTA P-424 (TRONGOL BAJO)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87.114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18.180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INTER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ANGELES, HUALQUI, ARAUCO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40020878-0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PUENTES MENORES DE MADERA REGION DEL BIOBIO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95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 </w:t>
            </w:r>
            <w:proofErr w:type="spellStart"/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INTER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NACIMIENTO, CURANILAHUE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30077015-0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Y CONSTRUCCIÓN CAMINO CURANILAHUE - NACIMIENTO POR BAJO LOS RIOS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2.924.000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278.628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CHILOE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CASTRO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40035408-0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BASICOS REGION DE LOS LAGOS PERIODO 2021-2023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8.642.783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3.742.421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CHILOE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CHONCHI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40035405-0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PLAN INDIGENA REGION DE LOS LAGOS PERIODO 2021-2023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1.747.460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1.700.021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CHILOE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DALCAHUE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40033603-0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SISTEMA DE AGUA POTABLE RURAL PUCHAURAN, COMUNA DE DALCAHUE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1.613.501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1.838.923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99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CHILOE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PUQUELDON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40029776-0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SISTEMA DE AGUA POTABLE RURAL CHALIHUE, COMUNA PUQUELDON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1.093.493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949.015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18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CHILOE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QUELLON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40019238-0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DEL SISTEMA APR CURANUE, COMUNA DE QUELLON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47.615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CHILOE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QUELLON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40049874-0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DE CAMINOS EN COMUNIDADES INDIGENAS REGION DE LOS LAGOS 2023-2026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1.397.861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266.194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MODIFICACION DE CONTRATO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LLANQUIHUE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MUERMOS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40038436-0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SISTEMA DE AGUA POTABLE RURAL DE OSTIONES, COMUNA DE LOS MUERMOS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1.456.297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1.371.553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OSORNO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SAN JUAN DE LA COSTA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40040152-0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PLAN INDIGENA REGION DE LOS LAGOS 2023-2024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2.828.142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1.618.600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OSORNO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SAN PABLO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40036769-0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SISTEMA DE AGUA POTABLE RURAL  LA POZA, COMUNA DE SAN PABLO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1.153.271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939.669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OSORNO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OSORNO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40017327-0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SISTEMA DE A.P.R. DE PUAUCHO COIHUERIA COMUNA DE SAN JUAN DE LA COSTA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1.572.092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980.807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OSORNO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OSORNO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40033639-0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SISTEMA SANITARIO RURAL LAS LUMAS, COMUNA DE OSORNO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2.200.000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800.269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95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PALENA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HUALAIHUE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40018527-0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SISTEMA DE AGUA POTABLE RURAL SECTOR CHEÑUE PUNTA PIUTIL, HUALAIHUE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1.987.713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1.346.799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27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INTER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LANCO, LOS LAGOS, MAFIL, MARIQUINA, PANGUIPULLI, VALDIVIA, FUTRONO, LA UNION, RIO BUENO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40048147-0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CONSERVACION ELEMENTOS DE SEGURIDAD VIAL REGIÓN DE LOS RÍOS 2023- 2024 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FUTRONO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40046526-0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SERVICIO DE APR DE MARIQUINA, FUTRONO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729.279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140.334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LICITACIÓN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FUTRONO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40049008-0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CONSTRUCCIÓN SERVICIO DE APR DE VISTA HERMOSA, FUTRONO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734.427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FUTRONO, LAGO RANCO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40035385-0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PLAN INDÍGENA REGIÓN DE LOS RÍOS PERÍODO 2021-2023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454.154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TERMINADO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FUTRONO, LAGO RANCO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40040161-0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EN COMUNIDADES INDIGENAS REGION DE LOS RIOS 2023-2024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4.761.608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647.982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 UNION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40047641-0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SERVICIO DE APR DE HUILLINCO, LA UNIÓN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293.721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 UNION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40048250-0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SERVICIO DE APR DE PURRIHUIN, LA UNION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761.161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291.954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17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 UNION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40049805-0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Y MEJORAMIENTO SERVICIO DE APR DE TRAIGUEN, LA UNION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951.116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427.082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81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 UNION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40027926-0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MEJORAMIENTO SISTEMAS APR, REGION DE LOS RIOS, GLOSA 05 APR (PREFACT.,FACT.,DISEÑO)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2.775.666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920.197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POR LICITAR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 UNION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40043731-0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BASICOS REGION DE LOS RIOS 2023-2024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7.503.499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6.372.915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95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LAGO RANCO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40047640-0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SERVICIO DE APR DE IGNAO, LAGO RANCO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99.311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87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LAGO RANCO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40047638-0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SERVICIO DE APR DE PITRIUCO, LAGO RANCO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234.568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LAGO RANCO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40039344-0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Y MEJORAMIENTO DEL SERVICIO DE APR DE MANTILHUE, RÍO BUENO, LOS RÍOS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1.552.572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1.044.064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LAGO RANCO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40037193-0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DEL SERVICIO DE APR DE QUILLAICO QUILLÍN, LAGO RANCO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1.601.500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691.207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89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RANCO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RIO BUENO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40039315-0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Y MEJORAMIENTO DEL SERVICIO DE APR DE VIVANCO, RIO BUENO, LOS RÍOS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548.156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335.560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MARIQUINA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40048175-0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SERVICIO APR DE ESTACIÓN MARIQUINA, COMUNA DE MARIQUINA, REGIÓN DE LOS RÍOS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137.400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46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MARIQUINA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40014262-0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CONSTRUCCIÓN SERVICIO DE APR DE CHEUQUE, MARIQUINA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175.841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81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40049539-0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CONSERVACIÓN SERVICIO DE APR PISHUINCO, VALDIVIA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251.896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56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LAGOS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VIALIDAD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40035388-0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CAMINOS BÁSICOS REGIÓN DE LOS RÍOS PERÍODO 2021-2023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1.811.594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1.429.287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CORRAL, LOS LAGOS, VALDIVIA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40016169-0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CONSERVACION MANTENCIÓN Y AMPLIACIÓN SIST. APR, REGIÓN DE LOS RÍOS (GLOSA 5)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47.245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48.888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MAFIL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40043789-0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SERVICIO DE APR DE LLASTUCO, MÁFIL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465.759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542.940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70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LANCO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40046479-0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Y MEJORAMIENTO SERVICIO APR MALALHUE, LANCO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678.072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611.103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86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PAILLACO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40050504-0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REPOSICION SERVICIO DE APR DE EL LLOLLY, PAILLACO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869.101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698.276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ADJUDICACIÓN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MARIQUINA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40049005-0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Y MEJORAMIENTO SERVICIO DE APR DE SANTA ROSA, MARIQUINA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940.180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498.367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LICITACIÓN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LANCO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40046082-0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SERVICIO APR DE LA ISLA, LANCO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1.222.734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92</w:t>
            </w:r>
          </w:p>
        </w:tc>
      </w:tr>
      <w:tr w:rsidR="00121BB9" w:rsidRPr="006B2565" w:rsidTr="00121BB9">
        <w:trPr>
          <w:trHeight w:val="255"/>
          <w:jc w:val="center"/>
        </w:trPr>
        <w:tc>
          <w:tcPr>
            <w:tcW w:w="113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LANCO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40049780-0</w:t>
            </w:r>
          </w:p>
        </w:tc>
        <w:tc>
          <w:tcPr>
            <w:tcW w:w="1475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CONSTRUCCION SERVICIO APR CATRICO, LANCO</w:t>
            </w:r>
          </w:p>
        </w:tc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1.308.964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1.247.706</w:t>
            </w:r>
          </w:p>
        </w:tc>
        <w:tc>
          <w:tcPr>
            <w:tcW w:w="1134" w:type="dxa"/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21BB9" w:rsidRPr="006B2565" w:rsidTr="008A3B8F">
        <w:trPr>
          <w:trHeight w:val="255"/>
          <w:jc w:val="center"/>
        </w:trPr>
        <w:tc>
          <w:tcPr>
            <w:tcW w:w="1135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PANGUIPULLI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40048239-0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Y MEJORAMIENTO SERVICIO APR MELEFQUEN, PANGUIPULLI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1.675.272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293.551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91</w:t>
            </w:r>
          </w:p>
        </w:tc>
      </w:tr>
      <w:tr w:rsidR="00121BB9" w:rsidRPr="006B2565" w:rsidTr="008A3B8F">
        <w:trPr>
          <w:trHeight w:val="255"/>
          <w:jc w:val="center"/>
        </w:trPr>
        <w:tc>
          <w:tcPr>
            <w:tcW w:w="1135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LOS RÍOS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VALDIVIA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MARIQUINA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SERVICIO SANITARIO RURAL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40033597-0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AMPLIACION Y MEJORAMIENTO DEL SERVICIO DE APR DE MEHUIN, MARIQUINA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5.372.348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3.261.776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EN LICITACIÓN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1BB9" w:rsidRPr="006B2565" w:rsidRDefault="00121BB9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6B2565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8A3B8F" w:rsidRPr="006B2565" w:rsidTr="008A3B8F">
        <w:trPr>
          <w:trHeight w:val="255"/>
          <w:jc w:val="center"/>
        </w:trPr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3B8F" w:rsidRPr="006B2565" w:rsidRDefault="008A3B8F" w:rsidP="00EC7F97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3B8F" w:rsidRPr="006B2565" w:rsidRDefault="008A3B8F" w:rsidP="00EC7F97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3B8F" w:rsidRPr="006B2565" w:rsidRDefault="008A3B8F" w:rsidP="00EC7F97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3B8F" w:rsidRPr="006B2565" w:rsidRDefault="008A3B8F" w:rsidP="00EC7F97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3B8F" w:rsidRPr="006B2565" w:rsidRDefault="008A3B8F" w:rsidP="00EC7F97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3B8F" w:rsidRPr="006B2565" w:rsidRDefault="008A3B8F" w:rsidP="00EC7F97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3B8F" w:rsidRPr="006B2565" w:rsidRDefault="008A3B8F" w:rsidP="00EC7F97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A3B8F" w:rsidRPr="006B2565" w:rsidRDefault="008A3B8F" w:rsidP="00EC7F97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A3B8F" w:rsidRPr="006B2565" w:rsidRDefault="008A3B8F" w:rsidP="00EC7F97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3B8F" w:rsidRPr="006B2565" w:rsidRDefault="008A3B8F" w:rsidP="00EC7F97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</w:p>
        </w:tc>
      </w:tr>
      <w:tr w:rsidR="00121BB9" w:rsidRPr="006B2565" w:rsidTr="008A3B8F">
        <w:trPr>
          <w:trHeight w:val="25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716F" w:rsidRPr="006B2565" w:rsidRDefault="0010716F" w:rsidP="0010716F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336.704.393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0716F" w:rsidRPr="006B2565" w:rsidRDefault="0010716F" w:rsidP="0010716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6B2565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178.744.644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10716F" w:rsidRPr="006B2565" w:rsidRDefault="0010716F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716F" w:rsidRPr="006B2565" w:rsidRDefault="0010716F" w:rsidP="00121BB9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</w:p>
        </w:tc>
      </w:tr>
    </w:tbl>
    <w:p w:rsidR="00AF21D7" w:rsidRDefault="00AF21D7" w:rsidP="00F60CF4">
      <w:pPr>
        <w:spacing w:after="60" w:line="240" w:lineRule="auto"/>
        <w:jc w:val="center"/>
        <w:rPr>
          <w:rFonts w:asciiTheme="majorHAnsi" w:hAnsiTheme="majorHAnsi" w:cstheme="majorHAnsi"/>
          <w:b/>
          <w:sz w:val="20"/>
          <w:lang w:val="es-MX"/>
        </w:rPr>
      </w:pPr>
    </w:p>
    <w:p w:rsidR="00E0285C" w:rsidRDefault="00E0285C">
      <w:pPr>
        <w:rPr>
          <w:rFonts w:asciiTheme="majorHAnsi" w:hAnsiTheme="majorHAnsi" w:cstheme="majorHAnsi"/>
          <w:b/>
          <w:lang w:val="es-MX"/>
        </w:rPr>
      </w:pPr>
      <w:r>
        <w:rPr>
          <w:rFonts w:asciiTheme="majorHAnsi" w:hAnsiTheme="majorHAnsi" w:cstheme="majorHAnsi"/>
          <w:b/>
          <w:lang w:val="es-MX"/>
        </w:rPr>
        <w:br w:type="page"/>
      </w:r>
    </w:p>
    <w:p w:rsidR="00C1489A" w:rsidRPr="00AE225D" w:rsidRDefault="00C1489A" w:rsidP="00C1489A">
      <w:pPr>
        <w:spacing w:after="0" w:line="240" w:lineRule="auto"/>
        <w:jc w:val="both"/>
        <w:rPr>
          <w:rFonts w:asciiTheme="majorHAnsi" w:hAnsiTheme="majorHAnsi" w:cstheme="majorHAnsi"/>
          <w:b/>
          <w:lang w:val="es-MX"/>
        </w:rPr>
      </w:pPr>
      <w:r>
        <w:rPr>
          <w:rFonts w:asciiTheme="majorHAnsi" w:hAnsiTheme="majorHAnsi" w:cstheme="majorHAnsi"/>
          <w:b/>
          <w:lang w:val="es-MX"/>
        </w:rPr>
        <w:lastRenderedPageBreak/>
        <w:t>GLOSA N°10</w:t>
      </w:r>
    </w:p>
    <w:p w:rsidR="00E82213" w:rsidRPr="00C1489A" w:rsidRDefault="00C1489A" w:rsidP="00C1489A">
      <w:pPr>
        <w:spacing w:after="0" w:line="240" w:lineRule="auto"/>
        <w:jc w:val="both"/>
        <w:rPr>
          <w:rFonts w:asciiTheme="majorHAnsi" w:hAnsiTheme="majorHAnsi" w:cstheme="majorHAnsi"/>
          <w:i/>
          <w:color w:val="000000"/>
          <w:shd w:val="clear" w:color="auto" w:fill="FFFFFF"/>
        </w:rPr>
      </w:pPr>
      <w:r w:rsidRPr="00C1489A">
        <w:rPr>
          <w:rFonts w:asciiTheme="majorHAnsi" w:hAnsiTheme="majorHAnsi" w:cstheme="majorHAnsi"/>
          <w:i/>
          <w:color w:val="000000"/>
          <w:shd w:val="clear" w:color="auto" w:fill="FFFFFF"/>
        </w:rPr>
        <w:t>El Ministerio de Obras Públicas, por intermedio de la coordinación del Programa,</w:t>
      </w:r>
      <w:r>
        <w:rPr>
          <w:rFonts w:asciiTheme="majorHAnsi" w:hAnsiTheme="majorHAnsi" w:cstheme="majorHAnsi"/>
          <w:i/>
          <w:color w:val="000000"/>
          <w:shd w:val="clear" w:color="auto" w:fill="FFFFFF"/>
        </w:rPr>
        <w:t xml:space="preserve"> </w:t>
      </w:r>
      <w:r w:rsidRPr="00C1489A">
        <w:rPr>
          <w:rFonts w:asciiTheme="majorHAnsi" w:hAnsiTheme="majorHAnsi" w:cstheme="majorHAnsi"/>
          <w:i/>
          <w:color w:val="000000"/>
          <w:shd w:val="clear" w:color="auto" w:fill="FFFFFF"/>
        </w:rPr>
        <w:t>informará mensualmente a la Comisión de Obras Públicas del Senado y a la</w:t>
      </w:r>
      <w:r>
        <w:rPr>
          <w:rFonts w:asciiTheme="majorHAnsi" w:hAnsiTheme="majorHAnsi" w:cstheme="majorHAnsi"/>
          <w:i/>
          <w:color w:val="000000"/>
          <w:shd w:val="clear" w:color="auto" w:fill="FFFFFF"/>
        </w:rPr>
        <w:t xml:space="preserve"> </w:t>
      </w:r>
      <w:r w:rsidRPr="00C1489A">
        <w:rPr>
          <w:rFonts w:asciiTheme="majorHAnsi" w:hAnsiTheme="majorHAnsi" w:cstheme="majorHAnsi"/>
          <w:i/>
          <w:color w:val="000000"/>
          <w:shd w:val="clear" w:color="auto" w:fill="FFFFFF"/>
        </w:rPr>
        <w:t>Comisión de Obras Públicas, Transportes y Telecomunicaciones de la Cámara de</w:t>
      </w:r>
      <w:r>
        <w:rPr>
          <w:rFonts w:asciiTheme="majorHAnsi" w:hAnsiTheme="majorHAnsi" w:cstheme="majorHAnsi"/>
          <w:i/>
          <w:color w:val="000000"/>
          <w:shd w:val="clear" w:color="auto" w:fill="FFFFFF"/>
        </w:rPr>
        <w:t xml:space="preserve"> </w:t>
      </w:r>
      <w:r w:rsidRPr="00C1489A">
        <w:rPr>
          <w:rFonts w:asciiTheme="majorHAnsi" w:hAnsiTheme="majorHAnsi" w:cstheme="majorHAnsi"/>
          <w:i/>
          <w:color w:val="000000"/>
          <w:shd w:val="clear" w:color="auto" w:fill="FFFFFF"/>
        </w:rPr>
        <w:t>Diputados respecto de las obras a ejecutar, las que se encuentren en ejecución y</w:t>
      </w:r>
      <w:r>
        <w:rPr>
          <w:rFonts w:asciiTheme="majorHAnsi" w:hAnsiTheme="majorHAnsi" w:cstheme="majorHAnsi"/>
          <w:i/>
          <w:color w:val="000000"/>
          <w:shd w:val="clear" w:color="auto" w:fill="FFFFFF"/>
        </w:rPr>
        <w:t xml:space="preserve"> </w:t>
      </w:r>
      <w:r w:rsidRPr="00C1489A">
        <w:rPr>
          <w:rFonts w:asciiTheme="majorHAnsi" w:hAnsiTheme="majorHAnsi" w:cstheme="majorHAnsi"/>
          <w:i/>
          <w:color w:val="000000"/>
          <w:shd w:val="clear" w:color="auto" w:fill="FFFFFF"/>
        </w:rPr>
        <w:t>las terminadas, debiendo detallar el lugar, el monto, los convenios con</w:t>
      </w:r>
      <w:r>
        <w:rPr>
          <w:rFonts w:asciiTheme="majorHAnsi" w:hAnsiTheme="majorHAnsi" w:cstheme="majorHAnsi"/>
          <w:i/>
          <w:color w:val="000000"/>
          <w:shd w:val="clear" w:color="auto" w:fill="FFFFFF"/>
        </w:rPr>
        <w:t xml:space="preserve"> </w:t>
      </w:r>
      <w:r w:rsidRPr="00C1489A">
        <w:rPr>
          <w:rFonts w:asciiTheme="majorHAnsi" w:hAnsiTheme="majorHAnsi" w:cstheme="majorHAnsi"/>
          <w:i/>
          <w:color w:val="000000"/>
          <w:shd w:val="clear" w:color="auto" w:fill="FFFFFF"/>
        </w:rPr>
        <w:t>privados, los responsables a cargo de las obras y toda otra información</w:t>
      </w:r>
      <w:r>
        <w:rPr>
          <w:rFonts w:asciiTheme="majorHAnsi" w:hAnsiTheme="majorHAnsi" w:cstheme="majorHAnsi"/>
          <w:i/>
          <w:color w:val="000000"/>
          <w:shd w:val="clear" w:color="auto" w:fill="FFFFFF"/>
        </w:rPr>
        <w:t xml:space="preserve"> </w:t>
      </w:r>
      <w:r w:rsidRPr="00C1489A">
        <w:rPr>
          <w:rFonts w:asciiTheme="majorHAnsi" w:hAnsiTheme="majorHAnsi" w:cstheme="majorHAnsi"/>
          <w:i/>
          <w:color w:val="000000"/>
          <w:shd w:val="clear" w:color="auto" w:fill="FFFFFF"/>
        </w:rPr>
        <w:t>relevante. Del mismo modo, informará de cada persona contratada en el programa,</w:t>
      </w:r>
      <w:r>
        <w:rPr>
          <w:rFonts w:asciiTheme="majorHAnsi" w:hAnsiTheme="majorHAnsi" w:cstheme="majorHAnsi"/>
          <w:i/>
          <w:color w:val="000000"/>
          <w:shd w:val="clear" w:color="auto" w:fill="FFFFFF"/>
        </w:rPr>
        <w:t xml:space="preserve"> </w:t>
      </w:r>
      <w:r w:rsidRPr="00C1489A">
        <w:rPr>
          <w:rFonts w:asciiTheme="majorHAnsi" w:hAnsiTheme="majorHAnsi" w:cstheme="majorHAnsi"/>
          <w:i/>
          <w:color w:val="000000"/>
          <w:shd w:val="clear" w:color="auto" w:fill="FFFFFF"/>
        </w:rPr>
        <w:t>bajo cualquier modalidad, adjuntando la documentación legal correspondiente.</w:t>
      </w:r>
    </w:p>
    <w:p w:rsidR="00E82213" w:rsidRDefault="00E82213" w:rsidP="009E0B79">
      <w:pPr>
        <w:spacing w:after="60" w:line="240" w:lineRule="auto"/>
        <w:jc w:val="both"/>
        <w:rPr>
          <w:rFonts w:asciiTheme="majorHAnsi" w:hAnsiTheme="majorHAnsi" w:cstheme="majorHAnsi"/>
          <w:lang w:val="es-MX"/>
        </w:rPr>
      </w:pPr>
    </w:p>
    <w:p w:rsidR="009160A8" w:rsidRDefault="009160A8" w:rsidP="009160A8">
      <w:pPr>
        <w:spacing w:line="360" w:lineRule="auto"/>
        <w:jc w:val="both"/>
        <w:rPr>
          <w:rFonts w:asciiTheme="majorHAnsi" w:hAnsiTheme="majorHAnsi" w:cstheme="majorHAnsi"/>
          <w:b/>
          <w:lang w:val="es-MX"/>
        </w:rPr>
      </w:pPr>
      <w:r w:rsidRPr="00976125">
        <w:rPr>
          <w:rFonts w:asciiTheme="majorHAnsi" w:hAnsiTheme="majorHAnsi" w:cstheme="majorHAnsi"/>
          <w:b/>
          <w:u w:val="single"/>
          <w:lang w:val="es-MX"/>
        </w:rPr>
        <w:t>RESPUESTA</w:t>
      </w:r>
      <w:r w:rsidRPr="00976125">
        <w:rPr>
          <w:rFonts w:asciiTheme="majorHAnsi" w:hAnsiTheme="majorHAnsi" w:cstheme="majorHAnsi"/>
          <w:b/>
          <w:lang w:val="es-MX"/>
        </w:rPr>
        <w:t xml:space="preserve">: </w:t>
      </w:r>
    </w:p>
    <w:tbl>
      <w:tblPr>
        <w:tblStyle w:val="Tablaconcuadrcula"/>
        <w:tblW w:w="9493" w:type="dxa"/>
        <w:tblBorders>
          <w:top w:val="dashSmallGap" w:sz="4" w:space="0" w:color="D9D9D9" w:themeColor="background1" w:themeShade="D9"/>
          <w:left w:val="dashSmallGap" w:sz="4" w:space="0" w:color="D9D9D9" w:themeColor="background1" w:themeShade="D9"/>
          <w:bottom w:val="dashSmallGap" w:sz="4" w:space="0" w:color="D9D9D9" w:themeColor="background1" w:themeShade="D9"/>
          <w:right w:val="dashSmallGap" w:sz="4" w:space="0" w:color="D9D9D9" w:themeColor="background1" w:themeShade="D9"/>
          <w:insideH w:val="dashSmallGap" w:sz="4" w:space="0" w:color="D9D9D9" w:themeColor="background1" w:themeShade="D9"/>
          <w:insideV w:val="dashSmallGap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96"/>
        <w:gridCol w:w="7797"/>
      </w:tblGrid>
      <w:tr w:rsidR="009160A8" w:rsidRPr="009A2663" w:rsidTr="0081797B">
        <w:tc>
          <w:tcPr>
            <w:tcW w:w="1696" w:type="dxa"/>
            <w:vAlign w:val="center"/>
          </w:tcPr>
          <w:p w:rsidR="009160A8" w:rsidRPr="009A2663" w:rsidRDefault="009160A8" w:rsidP="00DA080B">
            <w:pPr>
              <w:rPr>
                <w:rFonts w:asciiTheme="majorHAnsi" w:hAnsiTheme="majorHAnsi" w:cstheme="majorHAnsi"/>
                <w:b/>
                <w:sz w:val="20"/>
                <w:lang w:val="es-MX"/>
              </w:rPr>
            </w:pPr>
            <w:r w:rsidRPr="009A2663">
              <w:rPr>
                <w:rFonts w:asciiTheme="majorHAnsi" w:hAnsiTheme="majorHAnsi" w:cstheme="majorHAnsi"/>
                <w:b/>
                <w:sz w:val="20"/>
                <w:lang w:val="es-MX"/>
              </w:rPr>
              <w:t>Periodo</w:t>
            </w:r>
          </w:p>
        </w:tc>
        <w:tc>
          <w:tcPr>
            <w:tcW w:w="7797" w:type="dxa"/>
            <w:vAlign w:val="center"/>
          </w:tcPr>
          <w:p w:rsidR="009160A8" w:rsidRPr="009A2663" w:rsidRDefault="008A3B8F" w:rsidP="008A3B8F">
            <w:pPr>
              <w:jc w:val="both"/>
              <w:rPr>
                <w:rFonts w:asciiTheme="majorHAnsi" w:hAnsiTheme="majorHAnsi" w:cstheme="majorHAnsi"/>
                <w:b/>
                <w:sz w:val="20"/>
                <w:lang w:val="es-MX"/>
              </w:rPr>
            </w:pPr>
            <w:r>
              <w:rPr>
                <w:rFonts w:asciiTheme="majorHAnsi" w:hAnsiTheme="majorHAnsi" w:cstheme="majorHAnsi"/>
                <w:sz w:val="20"/>
                <w:lang w:val="es-MX"/>
              </w:rPr>
              <w:t xml:space="preserve">Cierre </w:t>
            </w:r>
            <w:r w:rsidR="0093771B">
              <w:rPr>
                <w:rFonts w:asciiTheme="majorHAnsi" w:hAnsiTheme="majorHAnsi" w:cstheme="majorHAnsi"/>
                <w:sz w:val="20"/>
                <w:lang w:val="es-MX"/>
              </w:rPr>
              <w:t xml:space="preserve">mes </w:t>
            </w:r>
            <w:r w:rsidR="0093771B" w:rsidRPr="009A2663">
              <w:rPr>
                <w:rFonts w:asciiTheme="majorHAnsi" w:hAnsiTheme="majorHAnsi" w:cstheme="majorHAnsi"/>
                <w:sz w:val="20"/>
                <w:lang w:val="es-MX"/>
              </w:rPr>
              <w:t>de ju</w:t>
            </w:r>
            <w:r>
              <w:rPr>
                <w:rFonts w:asciiTheme="majorHAnsi" w:hAnsiTheme="majorHAnsi" w:cstheme="majorHAnsi"/>
                <w:sz w:val="20"/>
                <w:lang w:val="es-MX"/>
              </w:rPr>
              <w:t>l</w:t>
            </w:r>
            <w:r w:rsidR="0093771B" w:rsidRPr="009A2663">
              <w:rPr>
                <w:rFonts w:asciiTheme="majorHAnsi" w:hAnsiTheme="majorHAnsi" w:cstheme="majorHAnsi"/>
                <w:sz w:val="20"/>
                <w:lang w:val="es-MX"/>
              </w:rPr>
              <w:t>io</w:t>
            </w:r>
            <w:r w:rsidR="0093771B">
              <w:rPr>
                <w:rFonts w:asciiTheme="majorHAnsi" w:hAnsiTheme="majorHAnsi" w:cstheme="majorHAnsi"/>
                <w:sz w:val="20"/>
                <w:lang w:val="es-MX"/>
              </w:rPr>
              <w:t xml:space="preserve"> del 2024</w:t>
            </w:r>
          </w:p>
        </w:tc>
      </w:tr>
      <w:tr w:rsidR="009160A8" w:rsidRPr="009A2663" w:rsidTr="0081797B">
        <w:tc>
          <w:tcPr>
            <w:tcW w:w="1696" w:type="dxa"/>
          </w:tcPr>
          <w:p w:rsidR="009160A8" w:rsidRPr="009A2663" w:rsidRDefault="009160A8" w:rsidP="00DA080B">
            <w:pPr>
              <w:rPr>
                <w:rFonts w:asciiTheme="majorHAnsi" w:hAnsiTheme="majorHAnsi" w:cstheme="majorHAnsi"/>
                <w:b/>
                <w:sz w:val="20"/>
                <w:lang w:val="es-MX"/>
              </w:rPr>
            </w:pPr>
            <w:r w:rsidRPr="009A2663">
              <w:rPr>
                <w:rFonts w:asciiTheme="majorHAnsi" w:hAnsiTheme="majorHAnsi" w:cstheme="majorHAnsi"/>
                <w:b/>
                <w:sz w:val="20"/>
                <w:lang w:val="es-MX"/>
              </w:rPr>
              <w:t>Subtítulo 33.02</w:t>
            </w:r>
          </w:p>
        </w:tc>
        <w:tc>
          <w:tcPr>
            <w:tcW w:w="7797" w:type="dxa"/>
            <w:vAlign w:val="center"/>
          </w:tcPr>
          <w:p w:rsidR="009160A8" w:rsidRDefault="009160A8" w:rsidP="009160A8">
            <w:pPr>
              <w:jc w:val="both"/>
              <w:rPr>
                <w:rFonts w:asciiTheme="majorHAnsi" w:hAnsiTheme="majorHAnsi" w:cstheme="majorHAnsi"/>
                <w:sz w:val="20"/>
                <w:lang w:val="es-MX"/>
              </w:rPr>
            </w:pPr>
            <w:r>
              <w:rPr>
                <w:rFonts w:asciiTheme="majorHAnsi" w:hAnsiTheme="majorHAnsi" w:cstheme="majorHAnsi"/>
                <w:sz w:val="20"/>
                <w:lang w:val="es-MX"/>
              </w:rPr>
              <w:t xml:space="preserve">El resultado del proceso del cierre presupuestario de </w:t>
            </w:r>
            <w:r w:rsidR="008A3B8F">
              <w:rPr>
                <w:rFonts w:asciiTheme="majorHAnsi" w:hAnsiTheme="majorHAnsi" w:cstheme="majorHAnsi"/>
                <w:sz w:val="20"/>
                <w:lang w:val="es-MX"/>
              </w:rPr>
              <w:t>julio</w:t>
            </w:r>
            <w:r>
              <w:rPr>
                <w:rFonts w:asciiTheme="majorHAnsi" w:hAnsiTheme="majorHAnsi" w:cstheme="majorHAnsi"/>
                <w:sz w:val="20"/>
                <w:lang w:val="es-MX"/>
              </w:rPr>
              <w:t xml:space="preserve"> del 2024 </w:t>
            </w:r>
            <w:r w:rsidR="0081797B">
              <w:rPr>
                <w:rFonts w:asciiTheme="majorHAnsi" w:hAnsiTheme="majorHAnsi" w:cstheme="majorHAnsi"/>
                <w:sz w:val="20"/>
                <w:lang w:val="es-MX"/>
              </w:rPr>
              <w:t xml:space="preserve">correspondiente a las iniciativas de inversión del </w:t>
            </w:r>
            <w:r>
              <w:rPr>
                <w:rFonts w:asciiTheme="majorHAnsi" w:hAnsiTheme="majorHAnsi" w:cstheme="majorHAnsi"/>
                <w:sz w:val="20"/>
                <w:lang w:val="es-MX"/>
              </w:rPr>
              <w:t>Programa Infraestructura para el Buen Vivir de la Dirección General de Obras P</w:t>
            </w:r>
            <w:r w:rsidR="0081797B">
              <w:rPr>
                <w:rFonts w:asciiTheme="majorHAnsi" w:hAnsiTheme="majorHAnsi" w:cstheme="majorHAnsi"/>
                <w:sz w:val="20"/>
                <w:lang w:val="es-MX"/>
              </w:rPr>
              <w:t xml:space="preserve">úblicas en coordinación con las direcciones del </w:t>
            </w:r>
            <w:r>
              <w:rPr>
                <w:rFonts w:asciiTheme="majorHAnsi" w:hAnsiTheme="majorHAnsi" w:cstheme="majorHAnsi"/>
                <w:sz w:val="20"/>
                <w:lang w:val="es-MX"/>
              </w:rPr>
              <w:t>Ministerio de Ob</w:t>
            </w:r>
            <w:r w:rsidR="0081797B">
              <w:rPr>
                <w:rFonts w:asciiTheme="majorHAnsi" w:hAnsiTheme="majorHAnsi" w:cstheme="majorHAnsi"/>
                <w:sz w:val="20"/>
                <w:lang w:val="es-MX"/>
              </w:rPr>
              <w:t xml:space="preserve">ras Públicas se identifican en </w:t>
            </w:r>
            <w:r w:rsidR="008A3B8F">
              <w:rPr>
                <w:rFonts w:asciiTheme="majorHAnsi" w:hAnsiTheme="majorHAnsi" w:cstheme="majorHAnsi"/>
                <w:sz w:val="20"/>
                <w:lang w:val="es-MX"/>
              </w:rPr>
              <w:t xml:space="preserve">Anexo </w:t>
            </w:r>
            <w:r w:rsidR="0081797B">
              <w:rPr>
                <w:rFonts w:asciiTheme="majorHAnsi" w:hAnsiTheme="majorHAnsi" w:cstheme="majorHAnsi"/>
                <w:sz w:val="20"/>
                <w:lang w:val="es-MX"/>
              </w:rPr>
              <w:t>N°1</w:t>
            </w:r>
            <w:r w:rsidR="008A3B8F">
              <w:rPr>
                <w:rFonts w:asciiTheme="majorHAnsi" w:hAnsiTheme="majorHAnsi" w:cstheme="majorHAnsi"/>
                <w:sz w:val="20"/>
                <w:lang w:val="es-MX"/>
              </w:rPr>
              <w:t>.</w:t>
            </w:r>
          </w:p>
          <w:p w:rsidR="0066061A" w:rsidRPr="009A2663" w:rsidRDefault="0066061A" w:rsidP="0081797B">
            <w:pPr>
              <w:jc w:val="both"/>
              <w:rPr>
                <w:rFonts w:asciiTheme="majorHAnsi" w:hAnsiTheme="majorHAnsi" w:cstheme="majorHAnsi"/>
                <w:b/>
                <w:sz w:val="20"/>
                <w:lang w:val="es-MX"/>
              </w:rPr>
            </w:pPr>
            <w:r>
              <w:rPr>
                <w:rFonts w:asciiTheme="majorHAnsi" w:hAnsiTheme="majorHAnsi" w:cstheme="majorHAnsi"/>
                <w:sz w:val="20"/>
                <w:lang w:val="es-MX"/>
              </w:rPr>
              <w:t xml:space="preserve">Respecto a las personas contratadas por el programa, se detallan </w:t>
            </w:r>
            <w:r w:rsidRPr="0066061A">
              <w:rPr>
                <w:rFonts w:asciiTheme="majorHAnsi" w:hAnsiTheme="majorHAnsi" w:cstheme="majorHAnsi"/>
                <w:sz w:val="20"/>
                <w:lang w:val="es-MX"/>
              </w:rPr>
              <w:t>Tabla N°</w:t>
            </w:r>
            <w:r w:rsidR="006B2565">
              <w:rPr>
                <w:rFonts w:asciiTheme="majorHAnsi" w:hAnsiTheme="majorHAnsi" w:cstheme="majorHAnsi"/>
                <w:sz w:val="20"/>
                <w:lang w:val="es-MX"/>
              </w:rPr>
              <w:t>3</w:t>
            </w:r>
          </w:p>
        </w:tc>
      </w:tr>
      <w:tr w:rsidR="009160A8" w:rsidRPr="009A2663" w:rsidTr="0081797B">
        <w:tc>
          <w:tcPr>
            <w:tcW w:w="1696" w:type="dxa"/>
          </w:tcPr>
          <w:p w:rsidR="009160A8" w:rsidRPr="009A2663" w:rsidRDefault="009160A8" w:rsidP="00DA080B">
            <w:pPr>
              <w:rPr>
                <w:rFonts w:asciiTheme="majorHAnsi" w:hAnsiTheme="majorHAnsi" w:cstheme="majorHAnsi"/>
                <w:b/>
                <w:sz w:val="20"/>
                <w:lang w:val="es-MX"/>
              </w:rPr>
            </w:pPr>
            <w:r w:rsidRPr="009A2663">
              <w:rPr>
                <w:rFonts w:asciiTheme="majorHAnsi" w:hAnsiTheme="majorHAnsi" w:cstheme="majorHAnsi"/>
                <w:b/>
                <w:sz w:val="20"/>
                <w:lang w:val="es-MX"/>
              </w:rPr>
              <w:t>Subtítulo 33.03</w:t>
            </w:r>
          </w:p>
        </w:tc>
        <w:tc>
          <w:tcPr>
            <w:tcW w:w="7797" w:type="dxa"/>
          </w:tcPr>
          <w:p w:rsidR="009160A8" w:rsidRPr="009A2663" w:rsidRDefault="009160A8" w:rsidP="00DA080B">
            <w:pPr>
              <w:jc w:val="both"/>
              <w:rPr>
                <w:rFonts w:asciiTheme="majorHAnsi" w:hAnsiTheme="majorHAnsi" w:cstheme="majorHAnsi"/>
                <w:b/>
                <w:sz w:val="20"/>
                <w:lang w:val="es-MX"/>
              </w:rPr>
            </w:pPr>
            <w:r w:rsidRPr="009A2663">
              <w:rPr>
                <w:rFonts w:asciiTheme="majorHAnsi" w:hAnsiTheme="majorHAnsi" w:cstheme="majorHAnsi"/>
                <w:sz w:val="20"/>
                <w:lang w:val="es-MX"/>
              </w:rPr>
              <w:t>Convenios en procesos de gestión, no se registran transferencias</w:t>
            </w:r>
          </w:p>
        </w:tc>
      </w:tr>
    </w:tbl>
    <w:p w:rsidR="009160A8" w:rsidRDefault="009160A8" w:rsidP="009160A8">
      <w:pPr>
        <w:spacing w:after="60" w:line="240" w:lineRule="auto"/>
        <w:jc w:val="both"/>
        <w:rPr>
          <w:rFonts w:asciiTheme="majorHAnsi" w:hAnsiTheme="majorHAnsi" w:cstheme="majorHAnsi"/>
          <w:lang w:val="es-MX"/>
        </w:rPr>
      </w:pPr>
    </w:p>
    <w:p w:rsidR="009E76D4" w:rsidRPr="00F60CF4" w:rsidRDefault="008A3B8F" w:rsidP="009E76D4">
      <w:pPr>
        <w:spacing w:after="60" w:line="240" w:lineRule="auto"/>
        <w:jc w:val="center"/>
        <w:rPr>
          <w:rFonts w:asciiTheme="majorHAnsi" w:hAnsiTheme="majorHAnsi" w:cstheme="majorHAnsi"/>
          <w:sz w:val="20"/>
          <w:lang w:val="es-MX"/>
        </w:rPr>
      </w:pPr>
      <w:r>
        <w:rPr>
          <w:rFonts w:asciiTheme="majorHAnsi" w:hAnsiTheme="majorHAnsi" w:cstheme="majorHAnsi"/>
          <w:b/>
          <w:sz w:val="20"/>
          <w:lang w:val="es-MX"/>
        </w:rPr>
        <w:t>Tabla</w:t>
      </w:r>
      <w:r w:rsidR="009E76D4" w:rsidRPr="00F60CF4">
        <w:rPr>
          <w:rFonts w:asciiTheme="majorHAnsi" w:hAnsiTheme="majorHAnsi" w:cstheme="majorHAnsi"/>
          <w:b/>
          <w:sz w:val="20"/>
          <w:lang w:val="es-MX"/>
        </w:rPr>
        <w:t xml:space="preserve"> N°</w:t>
      </w:r>
      <w:r w:rsidR="006B2565">
        <w:rPr>
          <w:rFonts w:asciiTheme="majorHAnsi" w:hAnsiTheme="majorHAnsi" w:cstheme="majorHAnsi"/>
          <w:b/>
          <w:sz w:val="20"/>
          <w:lang w:val="es-MX"/>
        </w:rPr>
        <w:t>3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134"/>
        <w:gridCol w:w="1984"/>
        <w:gridCol w:w="2268"/>
        <w:gridCol w:w="1276"/>
        <w:gridCol w:w="1554"/>
      </w:tblGrid>
      <w:tr w:rsidR="00444FD9" w:rsidRPr="0066061A" w:rsidTr="00476650">
        <w:trPr>
          <w:trHeight w:val="450"/>
          <w:jc w:val="center"/>
        </w:trPr>
        <w:tc>
          <w:tcPr>
            <w:tcW w:w="1277" w:type="dxa"/>
            <w:shd w:val="clear" w:color="auto" w:fill="F2F2F2" w:themeFill="background1" w:themeFillShade="F2"/>
            <w:vAlign w:val="center"/>
            <w:hideMark/>
          </w:tcPr>
          <w:p w:rsidR="00444FD9" w:rsidRPr="00476650" w:rsidRDefault="00476650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</w:pPr>
            <w:r w:rsidRPr="00476650"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  <w:t xml:space="preserve">APELLIDO PATERNO 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:rsidR="00444FD9" w:rsidRPr="00476650" w:rsidRDefault="00476650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</w:pPr>
            <w:r w:rsidRPr="00476650"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  <w:t xml:space="preserve"> APELLIDO MATERNO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  <w:hideMark/>
          </w:tcPr>
          <w:p w:rsidR="00444FD9" w:rsidRPr="00476650" w:rsidRDefault="00476650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</w:pPr>
            <w:r w:rsidRPr="00476650"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  <w:t xml:space="preserve"> NOMBRES</w:t>
            </w: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center"/>
            <w:hideMark/>
          </w:tcPr>
          <w:p w:rsidR="00444FD9" w:rsidRPr="00476650" w:rsidRDefault="00476650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</w:pPr>
            <w:r w:rsidRPr="00476650"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  <w:t>DOCUMENTACIÓN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444FD9" w:rsidRPr="00476650" w:rsidRDefault="00476650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</w:pPr>
            <w:r w:rsidRPr="00476650"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  <w:t>RUT</w:t>
            </w:r>
          </w:p>
        </w:tc>
        <w:tc>
          <w:tcPr>
            <w:tcW w:w="1554" w:type="dxa"/>
            <w:shd w:val="clear" w:color="auto" w:fill="F2F2F2" w:themeFill="background1" w:themeFillShade="F2"/>
            <w:noWrap/>
            <w:vAlign w:val="center"/>
            <w:hideMark/>
          </w:tcPr>
          <w:p w:rsidR="00444FD9" w:rsidRPr="00476650" w:rsidRDefault="00476650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</w:pPr>
            <w:r w:rsidRPr="00476650">
              <w:rPr>
                <w:rFonts w:asciiTheme="majorHAnsi" w:eastAsia="Times New Roman" w:hAnsiTheme="majorHAnsi" w:cstheme="majorHAnsi"/>
                <w:b/>
                <w:bCs/>
                <w:sz w:val="18"/>
                <w:szCs w:val="20"/>
                <w:lang w:eastAsia="es-CL"/>
              </w:rPr>
              <w:t>ESTAMENTO</w:t>
            </w:r>
          </w:p>
        </w:tc>
      </w:tr>
      <w:tr w:rsidR="00444FD9" w:rsidRPr="0066061A" w:rsidTr="00102A4F">
        <w:trPr>
          <w:trHeight w:val="300"/>
          <w:jc w:val="center"/>
        </w:trPr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Cossio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Hurtado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Francisco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Fabián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Dec.Ex.RA</w:t>
            </w:r>
            <w:proofErr w:type="spellEnd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273/18/2024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15.480.495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-1</w:t>
            </w:r>
          </w:p>
        </w:tc>
        <w:tc>
          <w:tcPr>
            <w:tcW w:w="1554" w:type="dxa"/>
            <w:shd w:val="clear" w:color="000000" w:fill="FFFFFF"/>
            <w:noWrap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Honorario</w:t>
            </w:r>
          </w:p>
        </w:tc>
      </w:tr>
      <w:tr w:rsidR="00444FD9" w:rsidRPr="0066061A" w:rsidTr="00102A4F">
        <w:trPr>
          <w:trHeight w:val="300"/>
          <w:jc w:val="center"/>
        </w:trPr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Curinao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Huañaco</w:t>
            </w:r>
            <w:proofErr w:type="spellEnd"/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Leonardo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Andrés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Res.Ex.RA</w:t>
            </w:r>
            <w:proofErr w:type="spellEnd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273/269/2024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18.320.521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-8</w:t>
            </w:r>
          </w:p>
        </w:tc>
        <w:tc>
          <w:tcPr>
            <w:tcW w:w="1554" w:type="dxa"/>
            <w:shd w:val="clear" w:color="000000" w:fill="FFFFFF"/>
            <w:noWrap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Honorario</w:t>
            </w:r>
          </w:p>
        </w:tc>
      </w:tr>
      <w:tr w:rsidR="00444FD9" w:rsidRPr="0066061A" w:rsidTr="00102A4F">
        <w:trPr>
          <w:trHeight w:val="300"/>
          <w:jc w:val="center"/>
        </w:trPr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España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Collío</w:t>
            </w:r>
            <w:proofErr w:type="spellEnd"/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Gabriela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Del Carmen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Dec.Ex.RA</w:t>
            </w:r>
            <w:proofErr w:type="spellEnd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273/9/2024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18.196.855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-9</w:t>
            </w:r>
          </w:p>
        </w:tc>
        <w:tc>
          <w:tcPr>
            <w:tcW w:w="1554" w:type="dxa"/>
            <w:shd w:val="clear" w:color="000000" w:fill="FFFFFF"/>
            <w:noWrap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Honorario</w:t>
            </w:r>
          </w:p>
        </w:tc>
      </w:tr>
      <w:tr w:rsidR="00444FD9" w:rsidRPr="0066061A" w:rsidTr="00102A4F">
        <w:trPr>
          <w:trHeight w:val="300"/>
          <w:jc w:val="center"/>
        </w:trPr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González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Sanhueza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Constanza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Sofía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Res.Ex.RA</w:t>
            </w:r>
            <w:proofErr w:type="spellEnd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273/271/2024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19.596.139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-5</w:t>
            </w:r>
          </w:p>
        </w:tc>
        <w:tc>
          <w:tcPr>
            <w:tcW w:w="1554" w:type="dxa"/>
            <w:shd w:val="clear" w:color="000000" w:fill="FFFFFF"/>
            <w:noWrap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Honorario</w:t>
            </w:r>
          </w:p>
        </w:tc>
      </w:tr>
      <w:tr w:rsidR="00444FD9" w:rsidRPr="0066061A" w:rsidTr="00102A4F">
        <w:trPr>
          <w:trHeight w:val="300"/>
          <w:jc w:val="center"/>
        </w:trPr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Henríquez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Salort</w:t>
            </w:r>
            <w:proofErr w:type="spellEnd"/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Antonella</w:t>
            </w:r>
            <w:proofErr w:type="spellEnd"/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Res.Ex.RA</w:t>
            </w:r>
            <w:proofErr w:type="spellEnd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273/270/2024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20.681.561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-2</w:t>
            </w:r>
          </w:p>
        </w:tc>
        <w:tc>
          <w:tcPr>
            <w:tcW w:w="1554" w:type="dxa"/>
            <w:shd w:val="clear" w:color="000000" w:fill="FFFFFF"/>
            <w:noWrap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Honorario</w:t>
            </w:r>
          </w:p>
        </w:tc>
      </w:tr>
      <w:tr w:rsidR="00444FD9" w:rsidRPr="0066061A" w:rsidTr="00102A4F">
        <w:trPr>
          <w:trHeight w:val="300"/>
          <w:jc w:val="center"/>
        </w:trPr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Jara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Ruiz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Piero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Edgardo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Res.Ex.RA</w:t>
            </w:r>
            <w:proofErr w:type="spellEnd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273/273/2024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17.551.397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-3</w:t>
            </w:r>
          </w:p>
        </w:tc>
        <w:tc>
          <w:tcPr>
            <w:tcW w:w="1554" w:type="dxa"/>
            <w:shd w:val="clear" w:color="000000" w:fill="FFFFFF"/>
            <w:noWrap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Honorario</w:t>
            </w:r>
          </w:p>
        </w:tc>
      </w:tr>
      <w:tr w:rsidR="00444FD9" w:rsidRPr="0066061A" w:rsidTr="00102A4F">
        <w:trPr>
          <w:trHeight w:val="300"/>
          <w:jc w:val="center"/>
        </w:trPr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Mena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Coronel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Leonardo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Juan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Dec.Ex.RA</w:t>
            </w:r>
            <w:proofErr w:type="spellEnd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273/8/2024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10.443.263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-8</w:t>
            </w:r>
          </w:p>
        </w:tc>
        <w:tc>
          <w:tcPr>
            <w:tcW w:w="1554" w:type="dxa"/>
            <w:shd w:val="clear" w:color="000000" w:fill="FFFFFF"/>
            <w:noWrap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Honorario</w:t>
            </w:r>
          </w:p>
        </w:tc>
      </w:tr>
      <w:tr w:rsidR="00444FD9" w:rsidRPr="0066061A" w:rsidTr="00102A4F">
        <w:trPr>
          <w:trHeight w:val="300"/>
          <w:jc w:val="center"/>
        </w:trPr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Ojeda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Porflit</w:t>
            </w:r>
            <w:proofErr w:type="spellEnd"/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Pablo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Res.Ex.RA</w:t>
            </w:r>
            <w:proofErr w:type="spellEnd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273/354/2024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11.919.832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-1</w:t>
            </w:r>
          </w:p>
        </w:tc>
        <w:tc>
          <w:tcPr>
            <w:tcW w:w="1554" w:type="dxa"/>
            <w:shd w:val="clear" w:color="000000" w:fill="FFFFFF"/>
            <w:noWrap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Honorario</w:t>
            </w:r>
          </w:p>
        </w:tc>
      </w:tr>
      <w:tr w:rsidR="00444FD9" w:rsidRPr="0066061A" w:rsidTr="00102A4F">
        <w:trPr>
          <w:trHeight w:val="300"/>
          <w:jc w:val="center"/>
        </w:trPr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Quidel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Huircalaf</w:t>
            </w:r>
            <w:proofErr w:type="spellEnd"/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Marcelo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Igor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Res.Ex.RA</w:t>
            </w:r>
            <w:proofErr w:type="spellEnd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273/272/2024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11.216.031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-0</w:t>
            </w:r>
          </w:p>
        </w:tc>
        <w:tc>
          <w:tcPr>
            <w:tcW w:w="1554" w:type="dxa"/>
            <w:shd w:val="clear" w:color="000000" w:fill="FFFFFF"/>
            <w:noWrap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Honorario</w:t>
            </w:r>
          </w:p>
        </w:tc>
      </w:tr>
      <w:tr w:rsidR="00444FD9" w:rsidRPr="0066061A" w:rsidTr="00102A4F">
        <w:trPr>
          <w:trHeight w:val="300"/>
          <w:jc w:val="center"/>
        </w:trPr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Suarez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Tiznado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Elba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Ibeth</w:t>
            </w:r>
            <w:proofErr w:type="spellEnd"/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444FD9" w:rsidRPr="0066061A" w:rsidRDefault="00444FD9" w:rsidP="00444FD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proofErr w:type="spellStart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Dec.Ex.RA</w:t>
            </w:r>
            <w:proofErr w:type="spellEnd"/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 xml:space="preserve"> 273/98/2024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 w:rsidRPr="0066061A"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14.272.159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1554" w:type="dxa"/>
            <w:shd w:val="clear" w:color="000000" w:fill="FFFFFF"/>
            <w:noWrap/>
            <w:vAlign w:val="center"/>
          </w:tcPr>
          <w:p w:rsidR="00444FD9" w:rsidRPr="0066061A" w:rsidRDefault="00444FD9" w:rsidP="00444F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CL"/>
              </w:rPr>
              <w:t>Honorario</w:t>
            </w:r>
          </w:p>
        </w:tc>
      </w:tr>
    </w:tbl>
    <w:p w:rsidR="0093771B" w:rsidRPr="003631F5" w:rsidRDefault="0093771B" w:rsidP="006B2FF3">
      <w:pPr>
        <w:autoSpaceDE w:val="0"/>
        <w:autoSpaceDN w:val="0"/>
        <w:adjustRightInd w:val="0"/>
        <w:jc w:val="both"/>
        <w:rPr>
          <w:i/>
        </w:rPr>
      </w:pPr>
    </w:p>
    <w:sectPr w:rsidR="0093771B" w:rsidRPr="003631F5" w:rsidSect="00920583">
      <w:headerReference w:type="default" r:id="rId8"/>
      <w:footerReference w:type="default" r:id="rId9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6CB" w:rsidRDefault="00E346CB" w:rsidP="005C1C60">
      <w:pPr>
        <w:spacing w:after="0" w:line="240" w:lineRule="auto"/>
      </w:pPr>
      <w:r>
        <w:separator/>
      </w:r>
    </w:p>
  </w:endnote>
  <w:endnote w:type="continuationSeparator" w:id="0">
    <w:p w:rsidR="00E346CB" w:rsidRDefault="00E346CB" w:rsidP="005C1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3731739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</w:rPr>
    </w:sdtEndPr>
    <w:sdtContent>
      <w:p w:rsidR="00AF21D7" w:rsidRPr="005D5F36" w:rsidRDefault="00AF21D7">
        <w:pPr>
          <w:pStyle w:val="Piedepgina"/>
          <w:jc w:val="right"/>
          <w:rPr>
            <w:rFonts w:asciiTheme="majorHAnsi" w:hAnsiTheme="majorHAnsi" w:cstheme="majorHAnsi"/>
          </w:rPr>
        </w:pPr>
        <w:r w:rsidRPr="005D5F36">
          <w:rPr>
            <w:rFonts w:asciiTheme="majorHAnsi" w:hAnsiTheme="majorHAnsi" w:cstheme="majorHAnsi"/>
            <w:sz w:val="16"/>
            <w:szCs w:val="16"/>
          </w:rPr>
          <w:fldChar w:fldCharType="begin"/>
        </w:r>
        <w:r w:rsidRPr="005D5F36">
          <w:rPr>
            <w:rFonts w:asciiTheme="majorHAnsi" w:hAnsiTheme="majorHAnsi" w:cstheme="majorHAnsi"/>
            <w:sz w:val="16"/>
            <w:szCs w:val="16"/>
          </w:rPr>
          <w:instrText>PAGE   \* MERGEFORMAT</w:instrText>
        </w:r>
        <w:r w:rsidRPr="005D5F36">
          <w:rPr>
            <w:rFonts w:asciiTheme="majorHAnsi" w:hAnsiTheme="majorHAnsi" w:cstheme="majorHAnsi"/>
            <w:sz w:val="16"/>
            <w:szCs w:val="16"/>
          </w:rPr>
          <w:fldChar w:fldCharType="separate"/>
        </w:r>
        <w:r w:rsidR="006B2565" w:rsidRPr="006B2565">
          <w:rPr>
            <w:rFonts w:asciiTheme="majorHAnsi" w:hAnsiTheme="majorHAnsi" w:cstheme="majorHAnsi"/>
            <w:noProof/>
            <w:sz w:val="16"/>
            <w:szCs w:val="16"/>
            <w:lang w:val="es-ES"/>
          </w:rPr>
          <w:t>22</w:t>
        </w:r>
        <w:r w:rsidRPr="005D5F36">
          <w:rPr>
            <w:rFonts w:asciiTheme="majorHAnsi" w:hAnsiTheme="majorHAnsi" w:cstheme="majorHAnsi"/>
            <w:sz w:val="16"/>
            <w:szCs w:val="16"/>
          </w:rPr>
          <w:fldChar w:fldCharType="end"/>
        </w:r>
      </w:p>
    </w:sdtContent>
  </w:sdt>
  <w:p w:rsidR="00AF21D7" w:rsidRDefault="00AF21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6CB" w:rsidRDefault="00E346CB" w:rsidP="005C1C60">
      <w:pPr>
        <w:spacing w:after="0" w:line="240" w:lineRule="auto"/>
      </w:pPr>
      <w:r>
        <w:separator/>
      </w:r>
    </w:p>
  </w:footnote>
  <w:footnote w:type="continuationSeparator" w:id="0">
    <w:p w:rsidR="00E346CB" w:rsidRDefault="00E346CB" w:rsidP="005C1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D7" w:rsidRPr="00AE225D" w:rsidRDefault="00AF21D7" w:rsidP="005C1C60">
    <w:pPr>
      <w:pStyle w:val="Encabezado"/>
      <w:tabs>
        <w:tab w:val="clear" w:pos="4419"/>
      </w:tabs>
      <w:ind w:firstLine="2124"/>
      <w:rPr>
        <w:rFonts w:asciiTheme="majorHAnsi" w:hAnsiTheme="majorHAnsi" w:cstheme="majorHAnsi"/>
        <w:sz w:val="20"/>
        <w:szCs w:val="20"/>
      </w:rPr>
    </w:pPr>
    <w:r w:rsidRPr="00AE225D">
      <w:rPr>
        <w:rFonts w:asciiTheme="majorHAnsi" w:hAnsiTheme="majorHAnsi" w:cstheme="majorHAnsi"/>
        <w:noProof/>
        <w:sz w:val="20"/>
        <w:szCs w:val="20"/>
        <w:lang w:eastAsia="es-CL"/>
      </w:rPr>
      <w:drawing>
        <wp:anchor distT="0" distB="0" distL="114300" distR="114300" simplePos="0" relativeHeight="251659264" behindDoc="0" locked="0" layoutInCell="1" allowOverlap="1" wp14:anchorId="65EE29A3" wp14:editId="7CC040F5">
          <wp:simplePos x="0" y="0"/>
          <wp:positionH relativeFrom="margin">
            <wp:align>left</wp:align>
          </wp:positionH>
          <wp:positionV relativeFrom="paragraph">
            <wp:posOffset>-240030</wp:posOffset>
          </wp:positionV>
          <wp:extent cx="1047750" cy="950286"/>
          <wp:effectExtent l="0" t="0" r="0" b="254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318" cy="956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225D">
      <w:rPr>
        <w:rFonts w:asciiTheme="majorHAnsi" w:hAnsiTheme="majorHAnsi" w:cstheme="majorHAnsi"/>
        <w:sz w:val="20"/>
        <w:szCs w:val="20"/>
      </w:rPr>
      <w:t>Ministerio de Obras Públicas</w:t>
    </w:r>
  </w:p>
  <w:p w:rsidR="00AF21D7" w:rsidRPr="00AE225D" w:rsidRDefault="00AF21D7" w:rsidP="005C1C60">
    <w:pPr>
      <w:pStyle w:val="Encabezado"/>
      <w:tabs>
        <w:tab w:val="clear" w:pos="4419"/>
        <w:tab w:val="clear" w:pos="8838"/>
      </w:tabs>
      <w:rPr>
        <w:rFonts w:asciiTheme="majorHAnsi" w:hAnsiTheme="majorHAnsi" w:cstheme="majorHAnsi"/>
        <w:sz w:val="20"/>
        <w:szCs w:val="20"/>
      </w:rPr>
    </w:pPr>
    <w:r w:rsidRPr="00AE225D">
      <w:rPr>
        <w:rFonts w:asciiTheme="majorHAnsi" w:hAnsiTheme="majorHAnsi" w:cstheme="majorHAnsi"/>
        <w:sz w:val="20"/>
        <w:szCs w:val="20"/>
      </w:rPr>
      <w:tab/>
    </w:r>
    <w:r w:rsidRPr="00AE225D">
      <w:rPr>
        <w:rFonts w:asciiTheme="majorHAnsi" w:hAnsiTheme="majorHAnsi" w:cstheme="majorHAnsi"/>
        <w:sz w:val="20"/>
        <w:szCs w:val="20"/>
      </w:rPr>
      <w:tab/>
    </w:r>
    <w:r w:rsidRPr="00AE225D">
      <w:rPr>
        <w:rFonts w:asciiTheme="majorHAnsi" w:hAnsiTheme="majorHAnsi" w:cstheme="majorHAnsi"/>
        <w:sz w:val="20"/>
        <w:szCs w:val="20"/>
      </w:rPr>
      <w:tab/>
      <w:t>Dirección General de Obras Públicas</w:t>
    </w:r>
  </w:p>
  <w:p w:rsidR="00AF21D7" w:rsidRPr="00AE225D" w:rsidRDefault="00AF21D7" w:rsidP="00123CCC">
    <w:pPr>
      <w:pStyle w:val="Encabezado"/>
      <w:tabs>
        <w:tab w:val="clear" w:pos="4419"/>
        <w:tab w:val="clear" w:pos="8838"/>
      </w:tabs>
      <w:rPr>
        <w:rFonts w:asciiTheme="majorHAnsi" w:hAnsiTheme="majorHAnsi" w:cstheme="majorHAnsi"/>
        <w:sz w:val="20"/>
        <w:szCs w:val="20"/>
      </w:rPr>
    </w:pPr>
    <w:r w:rsidRPr="00AE225D">
      <w:rPr>
        <w:rFonts w:asciiTheme="majorHAnsi" w:eastAsiaTheme="majorEastAsia" w:hAnsiTheme="majorHAnsi" w:cstheme="majorHAnsi"/>
        <w:bCs/>
        <w:color w:val="000000" w:themeColor="text1"/>
        <w:kern w:val="24"/>
        <w:sz w:val="20"/>
        <w:szCs w:val="20"/>
        <w:lang w:val="es-419"/>
      </w:rPr>
      <w:t xml:space="preserve">                                               Unidad Especial de Infraestructura para el Buen Vivir</w:t>
    </w:r>
  </w:p>
  <w:p w:rsidR="00AF21D7" w:rsidRPr="00AE225D" w:rsidRDefault="00AF21D7" w:rsidP="005C1C60">
    <w:pPr>
      <w:pStyle w:val="Encabezado"/>
      <w:tabs>
        <w:tab w:val="clear" w:pos="4419"/>
        <w:tab w:val="clear" w:pos="8838"/>
      </w:tabs>
      <w:jc w:val="both"/>
      <w:rPr>
        <w:rFonts w:asciiTheme="majorHAnsi" w:hAnsiTheme="majorHAnsi" w:cstheme="majorHAnsi"/>
        <w:sz w:val="20"/>
        <w:szCs w:val="20"/>
      </w:rPr>
    </w:pPr>
  </w:p>
  <w:p w:rsidR="00AF21D7" w:rsidRPr="00AE225D" w:rsidRDefault="00AF21D7" w:rsidP="00E00408">
    <w:pPr>
      <w:pStyle w:val="Encabezado"/>
      <w:tabs>
        <w:tab w:val="clear" w:pos="4419"/>
        <w:tab w:val="clear" w:pos="8838"/>
      </w:tabs>
      <w:jc w:val="both"/>
      <w:rPr>
        <w:rFonts w:asciiTheme="majorHAnsi" w:hAnsiTheme="majorHAnsi" w:cstheme="majorHAnsi"/>
        <w:b/>
        <w:sz w:val="20"/>
        <w:szCs w:val="20"/>
      </w:rPr>
    </w:pPr>
    <w:r w:rsidRPr="00AE225D">
      <w:rPr>
        <w:rFonts w:asciiTheme="majorHAnsi" w:hAnsiTheme="majorHAnsi" w:cstheme="majorHAnsi"/>
        <w:b/>
        <w:sz w:val="20"/>
        <w:szCs w:val="20"/>
      </w:rPr>
      <w:tab/>
    </w:r>
    <w:r w:rsidRPr="00AE225D">
      <w:rPr>
        <w:rFonts w:asciiTheme="majorHAnsi" w:hAnsiTheme="majorHAnsi" w:cstheme="majorHAnsi"/>
        <w:b/>
        <w:sz w:val="20"/>
        <w:szCs w:val="20"/>
      </w:rPr>
      <w:tab/>
    </w:r>
    <w:r w:rsidRPr="00AE225D">
      <w:rPr>
        <w:rFonts w:asciiTheme="majorHAnsi" w:hAnsiTheme="majorHAnsi" w:cstheme="majorHAnsi"/>
        <w:b/>
        <w:sz w:val="20"/>
        <w:szCs w:val="20"/>
      </w:rPr>
      <w:tab/>
      <w:t>GLOSAS: PROGRAMA PRESUPUESTARIO 12.02.14</w:t>
    </w:r>
  </w:p>
  <w:p w:rsidR="00AF21D7" w:rsidRDefault="00AF21D7" w:rsidP="005C1C6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1D62"/>
    <w:multiLevelType w:val="hybridMultilevel"/>
    <w:tmpl w:val="466E6CF4"/>
    <w:lvl w:ilvl="0" w:tplc="8042F0F4">
      <w:start w:val="16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269D"/>
    <w:multiLevelType w:val="hybridMultilevel"/>
    <w:tmpl w:val="0CFEAA36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F3188"/>
    <w:multiLevelType w:val="hybridMultilevel"/>
    <w:tmpl w:val="2B34DBE6"/>
    <w:lvl w:ilvl="0" w:tplc="5C28F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C69BC"/>
    <w:multiLevelType w:val="hybridMultilevel"/>
    <w:tmpl w:val="3744ACA6"/>
    <w:lvl w:ilvl="0" w:tplc="16D660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E6BB7"/>
    <w:multiLevelType w:val="hybridMultilevel"/>
    <w:tmpl w:val="27E83E8E"/>
    <w:lvl w:ilvl="0" w:tplc="5C28F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3202A"/>
    <w:multiLevelType w:val="hybridMultilevel"/>
    <w:tmpl w:val="07A24048"/>
    <w:lvl w:ilvl="0" w:tplc="507E75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6687D"/>
    <w:multiLevelType w:val="hybridMultilevel"/>
    <w:tmpl w:val="B116403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D0E33"/>
    <w:multiLevelType w:val="hybridMultilevel"/>
    <w:tmpl w:val="481CC744"/>
    <w:lvl w:ilvl="0" w:tplc="16202EC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61CE2"/>
    <w:multiLevelType w:val="hybridMultilevel"/>
    <w:tmpl w:val="60D40B38"/>
    <w:lvl w:ilvl="0" w:tplc="265047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75766"/>
    <w:multiLevelType w:val="hybridMultilevel"/>
    <w:tmpl w:val="58AC479C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17D4B"/>
    <w:multiLevelType w:val="hybridMultilevel"/>
    <w:tmpl w:val="B0843594"/>
    <w:lvl w:ilvl="0" w:tplc="16702AF8">
      <w:start w:val="16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B05E8D"/>
    <w:multiLevelType w:val="hybridMultilevel"/>
    <w:tmpl w:val="47B8A9EA"/>
    <w:lvl w:ilvl="0" w:tplc="5C28F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1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60"/>
    <w:rsid w:val="00005DE8"/>
    <w:rsid w:val="00010212"/>
    <w:rsid w:val="0001358B"/>
    <w:rsid w:val="00024139"/>
    <w:rsid w:val="00030F21"/>
    <w:rsid w:val="00036418"/>
    <w:rsid w:val="00071969"/>
    <w:rsid w:val="00072BF0"/>
    <w:rsid w:val="000C2D44"/>
    <w:rsid w:val="000E4FE2"/>
    <w:rsid w:val="000F6FAC"/>
    <w:rsid w:val="00102366"/>
    <w:rsid w:val="00102A4F"/>
    <w:rsid w:val="0010716F"/>
    <w:rsid w:val="001202F5"/>
    <w:rsid w:val="00121BB9"/>
    <w:rsid w:val="00123CCC"/>
    <w:rsid w:val="00132417"/>
    <w:rsid w:val="0013418C"/>
    <w:rsid w:val="00161131"/>
    <w:rsid w:val="00164672"/>
    <w:rsid w:val="001B4172"/>
    <w:rsid w:val="001C155F"/>
    <w:rsid w:val="001C2F76"/>
    <w:rsid w:val="001C78E7"/>
    <w:rsid w:val="001E7646"/>
    <w:rsid w:val="001F1739"/>
    <w:rsid w:val="00201A6C"/>
    <w:rsid w:val="0020722E"/>
    <w:rsid w:val="00212909"/>
    <w:rsid w:val="002159EE"/>
    <w:rsid w:val="002250BA"/>
    <w:rsid w:val="00234FCB"/>
    <w:rsid w:val="00235021"/>
    <w:rsid w:val="00235D24"/>
    <w:rsid w:val="00245976"/>
    <w:rsid w:val="00247F2C"/>
    <w:rsid w:val="00255D9C"/>
    <w:rsid w:val="00272DA7"/>
    <w:rsid w:val="00293A74"/>
    <w:rsid w:val="002A2D86"/>
    <w:rsid w:val="002A4DC6"/>
    <w:rsid w:val="002A6535"/>
    <w:rsid w:val="002C3C09"/>
    <w:rsid w:val="002D6B73"/>
    <w:rsid w:val="00301BAB"/>
    <w:rsid w:val="003408C9"/>
    <w:rsid w:val="00342229"/>
    <w:rsid w:val="00395672"/>
    <w:rsid w:val="003B2163"/>
    <w:rsid w:val="003D5612"/>
    <w:rsid w:val="003D6EB2"/>
    <w:rsid w:val="003D7DD8"/>
    <w:rsid w:val="003F0DF8"/>
    <w:rsid w:val="0041195E"/>
    <w:rsid w:val="00412CD6"/>
    <w:rsid w:val="004168DE"/>
    <w:rsid w:val="004228B3"/>
    <w:rsid w:val="0042740A"/>
    <w:rsid w:val="00430152"/>
    <w:rsid w:val="00433BB5"/>
    <w:rsid w:val="00444FD9"/>
    <w:rsid w:val="00454263"/>
    <w:rsid w:val="00467BB1"/>
    <w:rsid w:val="00476650"/>
    <w:rsid w:val="004D1882"/>
    <w:rsid w:val="004E64BC"/>
    <w:rsid w:val="004F4D01"/>
    <w:rsid w:val="004F793A"/>
    <w:rsid w:val="00547477"/>
    <w:rsid w:val="00555AE4"/>
    <w:rsid w:val="005574B5"/>
    <w:rsid w:val="00571343"/>
    <w:rsid w:val="00583AC5"/>
    <w:rsid w:val="005A1A29"/>
    <w:rsid w:val="005B5252"/>
    <w:rsid w:val="005B61A3"/>
    <w:rsid w:val="005C1C60"/>
    <w:rsid w:val="005D50C4"/>
    <w:rsid w:val="005D5F36"/>
    <w:rsid w:val="005D7590"/>
    <w:rsid w:val="006107FF"/>
    <w:rsid w:val="00611469"/>
    <w:rsid w:val="00613A12"/>
    <w:rsid w:val="00613C89"/>
    <w:rsid w:val="0063120D"/>
    <w:rsid w:val="00653114"/>
    <w:rsid w:val="0066061A"/>
    <w:rsid w:val="006632D8"/>
    <w:rsid w:val="00676B68"/>
    <w:rsid w:val="00693461"/>
    <w:rsid w:val="0069627D"/>
    <w:rsid w:val="006B2565"/>
    <w:rsid w:val="006B2FF3"/>
    <w:rsid w:val="006C2D6F"/>
    <w:rsid w:val="006E6D3C"/>
    <w:rsid w:val="00705970"/>
    <w:rsid w:val="00711B82"/>
    <w:rsid w:val="00731241"/>
    <w:rsid w:val="007A41C5"/>
    <w:rsid w:val="007B2C7F"/>
    <w:rsid w:val="007D3695"/>
    <w:rsid w:val="00804AC6"/>
    <w:rsid w:val="00811EE9"/>
    <w:rsid w:val="0081631D"/>
    <w:rsid w:val="0081797B"/>
    <w:rsid w:val="00827FB4"/>
    <w:rsid w:val="00832D74"/>
    <w:rsid w:val="008903CA"/>
    <w:rsid w:val="008924D2"/>
    <w:rsid w:val="008A1EAA"/>
    <w:rsid w:val="008A3B8F"/>
    <w:rsid w:val="008A4642"/>
    <w:rsid w:val="008B4677"/>
    <w:rsid w:val="008F0336"/>
    <w:rsid w:val="008F4D0F"/>
    <w:rsid w:val="009038B0"/>
    <w:rsid w:val="00915F11"/>
    <w:rsid w:val="009160A8"/>
    <w:rsid w:val="00920583"/>
    <w:rsid w:val="00923C2F"/>
    <w:rsid w:val="00931A3B"/>
    <w:rsid w:val="0093771B"/>
    <w:rsid w:val="00941D29"/>
    <w:rsid w:val="00960AEB"/>
    <w:rsid w:val="009618BB"/>
    <w:rsid w:val="00976125"/>
    <w:rsid w:val="00982583"/>
    <w:rsid w:val="009A2663"/>
    <w:rsid w:val="009B4D95"/>
    <w:rsid w:val="009D097B"/>
    <w:rsid w:val="009D4CC0"/>
    <w:rsid w:val="009E0B79"/>
    <w:rsid w:val="009E76D4"/>
    <w:rsid w:val="009F4CE7"/>
    <w:rsid w:val="00A0349F"/>
    <w:rsid w:val="00A264AF"/>
    <w:rsid w:val="00A47E83"/>
    <w:rsid w:val="00A53BCB"/>
    <w:rsid w:val="00A56CB9"/>
    <w:rsid w:val="00A828C1"/>
    <w:rsid w:val="00A94E9B"/>
    <w:rsid w:val="00AB09DB"/>
    <w:rsid w:val="00AB2CCF"/>
    <w:rsid w:val="00AC01A9"/>
    <w:rsid w:val="00AC4772"/>
    <w:rsid w:val="00AD4753"/>
    <w:rsid w:val="00AD6611"/>
    <w:rsid w:val="00AD7DFB"/>
    <w:rsid w:val="00AE225D"/>
    <w:rsid w:val="00AE3571"/>
    <w:rsid w:val="00AF21D7"/>
    <w:rsid w:val="00AF72E0"/>
    <w:rsid w:val="00B04FA1"/>
    <w:rsid w:val="00B050C4"/>
    <w:rsid w:val="00B45C90"/>
    <w:rsid w:val="00B810DE"/>
    <w:rsid w:val="00B85A97"/>
    <w:rsid w:val="00BB0B70"/>
    <w:rsid w:val="00BB75B2"/>
    <w:rsid w:val="00BC468F"/>
    <w:rsid w:val="00BD221D"/>
    <w:rsid w:val="00C1489A"/>
    <w:rsid w:val="00C33A26"/>
    <w:rsid w:val="00C33BB0"/>
    <w:rsid w:val="00C50A70"/>
    <w:rsid w:val="00C55EBB"/>
    <w:rsid w:val="00C73CA0"/>
    <w:rsid w:val="00C92DF5"/>
    <w:rsid w:val="00CB6600"/>
    <w:rsid w:val="00CD0F1B"/>
    <w:rsid w:val="00CD5B3F"/>
    <w:rsid w:val="00D10A77"/>
    <w:rsid w:val="00D15CA6"/>
    <w:rsid w:val="00D17F85"/>
    <w:rsid w:val="00D31428"/>
    <w:rsid w:val="00D46F9F"/>
    <w:rsid w:val="00D50624"/>
    <w:rsid w:val="00D63458"/>
    <w:rsid w:val="00D75938"/>
    <w:rsid w:val="00D778C7"/>
    <w:rsid w:val="00D851CB"/>
    <w:rsid w:val="00D91C0E"/>
    <w:rsid w:val="00DA080B"/>
    <w:rsid w:val="00DC50E4"/>
    <w:rsid w:val="00DD30F4"/>
    <w:rsid w:val="00DD583F"/>
    <w:rsid w:val="00DE5AD3"/>
    <w:rsid w:val="00DF79EF"/>
    <w:rsid w:val="00E00408"/>
    <w:rsid w:val="00E0285C"/>
    <w:rsid w:val="00E03340"/>
    <w:rsid w:val="00E1288B"/>
    <w:rsid w:val="00E12F46"/>
    <w:rsid w:val="00E21F1C"/>
    <w:rsid w:val="00E22F18"/>
    <w:rsid w:val="00E346CB"/>
    <w:rsid w:val="00E4080E"/>
    <w:rsid w:val="00E44812"/>
    <w:rsid w:val="00E56460"/>
    <w:rsid w:val="00E62883"/>
    <w:rsid w:val="00E717D3"/>
    <w:rsid w:val="00E82213"/>
    <w:rsid w:val="00E909AE"/>
    <w:rsid w:val="00EA1B5A"/>
    <w:rsid w:val="00EB18E3"/>
    <w:rsid w:val="00ED0BEA"/>
    <w:rsid w:val="00ED5678"/>
    <w:rsid w:val="00EE344E"/>
    <w:rsid w:val="00EF2D5F"/>
    <w:rsid w:val="00F01083"/>
    <w:rsid w:val="00F021DD"/>
    <w:rsid w:val="00F12301"/>
    <w:rsid w:val="00F410CC"/>
    <w:rsid w:val="00F46466"/>
    <w:rsid w:val="00F51E76"/>
    <w:rsid w:val="00F60CF4"/>
    <w:rsid w:val="00F70B0E"/>
    <w:rsid w:val="00F717DF"/>
    <w:rsid w:val="00F745D9"/>
    <w:rsid w:val="00F964D9"/>
    <w:rsid w:val="00F969B8"/>
    <w:rsid w:val="00F96E6B"/>
    <w:rsid w:val="00FA1305"/>
    <w:rsid w:val="00FB38DE"/>
    <w:rsid w:val="00FB590E"/>
    <w:rsid w:val="00FC2A1A"/>
    <w:rsid w:val="00FC2B41"/>
    <w:rsid w:val="00FC5F31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C5F34-BE4A-4F05-BC28-220FC8D6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1C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1C60"/>
  </w:style>
  <w:style w:type="paragraph" w:styleId="Piedepgina">
    <w:name w:val="footer"/>
    <w:basedOn w:val="Normal"/>
    <w:link w:val="PiedepginaCar"/>
    <w:uiPriority w:val="99"/>
    <w:unhideWhenUsed/>
    <w:rsid w:val="005C1C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C60"/>
  </w:style>
  <w:style w:type="paragraph" w:styleId="Prrafodelista">
    <w:name w:val="List Paragraph"/>
    <w:basedOn w:val="Normal"/>
    <w:uiPriority w:val="34"/>
    <w:qFormat/>
    <w:rsid w:val="00467B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9D4CC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4CC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4CC0"/>
    <w:rPr>
      <w:vertAlign w:val="superscript"/>
    </w:rPr>
  </w:style>
  <w:style w:type="paragraph" w:styleId="Sinespaciado">
    <w:name w:val="No Spacing"/>
    <w:uiPriority w:val="1"/>
    <w:qFormat/>
    <w:rsid w:val="00E21F1C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02413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982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33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A2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072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6FFE6-5234-4D37-A783-BF5E2F3E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23</Pages>
  <Words>5419</Words>
  <Characters>29810</Characters>
  <Application>Microsoft Office Word</Application>
  <DocSecurity>0</DocSecurity>
  <Lines>248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César González Pizarro (DGOP)</dc:creator>
  <cp:keywords/>
  <dc:description/>
  <cp:lastModifiedBy>Héctor Mora González (DGOP)</cp:lastModifiedBy>
  <cp:revision>53</cp:revision>
  <cp:lastPrinted>2024-06-25T17:45:00Z</cp:lastPrinted>
  <dcterms:created xsi:type="dcterms:W3CDTF">2024-07-18T20:04:00Z</dcterms:created>
  <dcterms:modified xsi:type="dcterms:W3CDTF">2024-08-14T21:05:00Z</dcterms:modified>
</cp:coreProperties>
</file>