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1509EC"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w:t>
      </w:r>
      <w:r w:rsidR="00E162AB" w:rsidRPr="001509EC">
        <w:rPr>
          <w:rFonts w:ascii="Verdana" w:hAnsi="Verdana"/>
          <w:b/>
          <w:lang w:val="pt-BR"/>
        </w:rPr>
        <w:t>DE GLOSAS PRESUPUESTARIAS</w:t>
      </w:r>
    </w:p>
    <w:p w:rsidR="00E162AB" w:rsidRPr="001509EC" w:rsidRDefault="00E162AB" w:rsidP="00E162AB">
      <w:pPr>
        <w:jc w:val="center"/>
        <w:rPr>
          <w:rFonts w:ascii="Verdana" w:hAnsi="Verdana"/>
          <w:b/>
          <w:lang w:val="pt-BR"/>
        </w:rPr>
      </w:pPr>
      <w:r w:rsidRPr="001509EC">
        <w:rPr>
          <w:rFonts w:ascii="Verdana" w:hAnsi="Verdana"/>
          <w:b/>
          <w:lang w:val="pt-BR"/>
        </w:rPr>
        <w:t>AÑO 20</w:t>
      </w:r>
      <w:r w:rsidR="00E90658" w:rsidRPr="001509EC">
        <w:rPr>
          <w:rFonts w:ascii="Verdana" w:hAnsi="Verdana"/>
          <w:b/>
          <w:lang w:val="pt-BR"/>
        </w:rPr>
        <w:t>2</w:t>
      </w:r>
      <w:r w:rsidR="00B437A2" w:rsidRPr="001509EC">
        <w:rPr>
          <w:rFonts w:ascii="Verdana" w:hAnsi="Verdana"/>
          <w:b/>
          <w:lang w:val="pt-BR"/>
        </w:rPr>
        <w:t>2</w:t>
      </w:r>
    </w:p>
    <w:p w:rsidR="00E162AB" w:rsidRPr="001509EC"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509EC">
        <w:rPr>
          <w:rFonts w:ascii="Verdana" w:hAnsi="Verdana"/>
          <w:b/>
          <w:noProof/>
          <w:lang w:val="es-CL"/>
        </w:rPr>
        <w:t>AGUA POTABLE RURAL</w:t>
      </w:r>
    </w:p>
    <w:p w:rsidR="00E162AB" w:rsidRPr="001509EC" w:rsidRDefault="00E162AB" w:rsidP="00E162AB">
      <w:pPr>
        <w:tabs>
          <w:tab w:val="left" w:pos="142"/>
        </w:tabs>
        <w:ind w:right="902"/>
        <w:jc w:val="center"/>
        <w:rPr>
          <w:rFonts w:ascii="Verdana" w:hAnsi="Verdana"/>
          <w:b/>
          <w:lang w:val="es-CL"/>
        </w:rPr>
      </w:pPr>
    </w:p>
    <w:p w:rsidR="002A57AA" w:rsidRPr="001509EC" w:rsidRDefault="002A57AA" w:rsidP="002A57AA">
      <w:pPr>
        <w:tabs>
          <w:tab w:val="left" w:pos="142"/>
        </w:tabs>
        <w:ind w:right="902"/>
        <w:jc w:val="both"/>
        <w:rPr>
          <w:rFonts w:ascii="Verdana" w:hAnsi="Verdana"/>
          <w:b/>
          <w:lang w:val="es-CL"/>
        </w:rPr>
      </w:pPr>
      <w:r w:rsidRPr="001509EC">
        <w:rPr>
          <w:rFonts w:ascii="Verdana" w:hAnsi="Verdana"/>
          <w:b/>
          <w:lang w:val="es-CL"/>
        </w:rPr>
        <w:t>ARTICULO 14.14</w:t>
      </w:r>
    </w:p>
    <w:p w:rsidR="002A57AA" w:rsidRPr="001509EC" w:rsidRDefault="002A57AA" w:rsidP="002A57AA">
      <w:pPr>
        <w:tabs>
          <w:tab w:val="left" w:pos="142"/>
        </w:tabs>
        <w:ind w:right="902"/>
        <w:jc w:val="both"/>
        <w:rPr>
          <w:rFonts w:ascii="Verdana" w:hAnsi="Verdana"/>
          <w:lang w:val="es-CL"/>
        </w:rPr>
      </w:pPr>
    </w:p>
    <w:p w:rsidR="002A57AA" w:rsidRPr="001509EC" w:rsidRDefault="002A57AA" w:rsidP="002A57AA">
      <w:pPr>
        <w:tabs>
          <w:tab w:val="left" w:pos="142"/>
        </w:tabs>
        <w:ind w:right="902"/>
        <w:jc w:val="both"/>
        <w:rPr>
          <w:rFonts w:ascii="Verdana" w:hAnsi="Verdana"/>
          <w:lang w:val="es-CL"/>
        </w:rPr>
      </w:pPr>
      <w:r w:rsidRPr="001509EC">
        <w:rPr>
          <w:rFonts w:ascii="Verdana" w:hAnsi="Verdana"/>
          <w:lang w:val="es-CL"/>
        </w:rPr>
        <w:t>Se adjunta listado.</w:t>
      </w:r>
    </w:p>
    <w:p w:rsidR="002A57AA" w:rsidRPr="001509EC" w:rsidRDefault="002A57AA" w:rsidP="002A57AA">
      <w:pPr>
        <w:tabs>
          <w:tab w:val="left" w:pos="142"/>
        </w:tabs>
        <w:ind w:right="902"/>
        <w:jc w:val="both"/>
        <w:rPr>
          <w:rFonts w:ascii="Verdana" w:hAnsi="Verdana"/>
          <w:lang w:val="es-CL"/>
        </w:rPr>
      </w:pPr>
    </w:p>
    <w:p w:rsidR="002A57AA" w:rsidRPr="001509EC" w:rsidRDefault="002A57AA" w:rsidP="002A57AA">
      <w:pPr>
        <w:tabs>
          <w:tab w:val="left" w:pos="142"/>
        </w:tabs>
        <w:ind w:right="902"/>
        <w:jc w:val="both"/>
        <w:rPr>
          <w:rFonts w:ascii="Verdana" w:hAnsi="Verdana"/>
          <w:b/>
          <w:lang w:val="es-CL"/>
        </w:rPr>
      </w:pPr>
      <w:r w:rsidRPr="001509EC">
        <w:rPr>
          <w:rFonts w:ascii="Verdana" w:hAnsi="Verdana"/>
          <w:b/>
          <w:lang w:val="es-CL"/>
        </w:rPr>
        <w:t>ARTICULO 14.12</w:t>
      </w:r>
    </w:p>
    <w:p w:rsidR="002A57AA" w:rsidRPr="001509EC" w:rsidRDefault="002A57AA" w:rsidP="002A57AA">
      <w:pPr>
        <w:tabs>
          <w:tab w:val="left" w:pos="142"/>
        </w:tabs>
        <w:ind w:right="902"/>
        <w:jc w:val="both"/>
        <w:rPr>
          <w:rFonts w:ascii="Verdana" w:hAnsi="Verdana"/>
          <w:lang w:val="es-CL"/>
        </w:rPr>
      </w:pPr>
    </w:p>
    <w:p w:rsidR="002A57AA" w:rsidRPr="001509EC" w:rsidRDefault="002A57AA" w:rsidP="002A57AA">
      <w:pPr>
        <w:tabs>
          <w:tab w:val="left" w:pos="142"/>
        </w:tabs>
        <w:ind w:right="902"/>
        <w:jc w:val="both"/>
        <w:rPr>
          <w:rFonts w:ascii="Verdana" w:hAnsi="Verdana"/>
          <w:lang w:val="es-CL"/>
        </w:rPr>
      </w:pPr>
      <w:r w:rsidRPr="001509EC">
        <w:rPr>
          <w:rFonts w:ascii="Verdana" w:hAnsi="Verdana"/>
          <w:lang w:val="es-CL"/>
        </w:rPr>
        <w:t>Se adjunta Proyectos adjudicados ST 29 DOH</w:t>
      </w:r>
    </w:p>
    <w:p w:rsidR="002A57AA" w:rsidRPr="001509EC" w:rsidRDefault="002A57AA" w:rsidP="002A57AA">
      <w:pPr>
        <w:tabs>
          <w:tab w:val="left" w:pos="142"/>
        </w:tabs>
        <w:ind w:right="902"/>
        <w:jc w:val="both"/>
        <w:rPr>
          <w:rFonts w:ascii="Verdana" w:hAnsi="Verdana"/>
          <w:lang w:val="es-CL"/>
        </w:rPr>
      </w:pPr>
    </w:p>
    <w:p w:rsidR="002A57AA" w:rsidRPr="001509EC" w:rsidRDefault="002A57AA" w:rsidP="002A57AA">
      <w:pPr>
        <w:tabs>
          <w:tab w:val="left" w:pos="142"/>
        </w:tabs>
        <w:ind w:right="902"/>
        <w:jc w:val="both"/>
        <w:rPr>
          <w:rFonts w:ascii="Verdana" w:hAnsi="Verdana"/>
          <w:b/>
          <w:lang w:val="es-CL"/>
        </w:rPr>
      </w:pPr>
      <w:r w:rsidRPr="001509EC">
        <w:rPr>
          <w:rFonts w:ascii="Verdana" w:hAnsi="Verdana"/>
          <w:b/>
          <w:lang w:val="es-CL"/>
        </w:rPr>
        <w:t>ARTICULO 14.15 y 16</w:t>
      </w:r>
    </w:p>
    <w:p w:rsidR="002A57AA" w:rsidRPr="001509EC" w:rsidRDefault="002A57AA" w:rsidP="002A57AA">
      <w:pPr>
        <w:tabs>
          <w:tab w:val="left" w:pos="142"/>
        </w:tabs>
        <w:ind w:right="902"/>
        <w:jc w:val="both"/>
        <w:rPr>
          <w:rFonts w:ascii="Verdana" w:hAnsi="Verdana"/>
          <w:lang w:val="es-CL"/>
        </w:rPr>
      </w:pPr>
    </w:p>
    <w:p w:rsidR="002A57AA" w:rsidRPr="001509EC" w:rsidRDefault="002A57AA" w:rsidP="002A57AA">
      <w:pPr>
        <w:tabs>
          <w:tab w:val="left" w:pos="142"/>
        </w:tabs>
        <w:ind w:right="49"/>
        <w:jc w:val="both"/>
        <w:rPr>
          <w:rFonts w:ascii="Verdana" w:hAnsi="Verdana"/>
          <w:lang w:val="es-CL"/>
        </w:rPr>
      </w:pPr>
      <w:r w:rsidRPr="001509EC">
        <w:rPr>
          <w:rFonts w:ascii="Verdana" w:hAnsi="Verdana"/>
          <w:lang w:val="es-CL"/>
        </w:rPr>
        <w:t>El APR no tiene gastos en Desarrollo Informático y Almacenamiento Informático.</w:t>
      </w:r>
    </w:p>
    <w:p w:rsidR="002A57AA" w:rsidRPr="001509EC" w:rsidRDefault="002A57AA" w:rsidP="002A57AA">
      <w:pPr>
        <w:tabs>
          <w:tab w:val="left" w:pos="142"/>
        </w:tabs>
        <w:ind w:right="902"/>
        <w:jc w:val="both"/>
        <w:rPr>
          <w:rFonts w:ascii="Verdana" w:hAnsi="Verdana"/>
          <w:lang w:val="es-CL"/>
        </w:rPr>
      </w:pPr>
    </w:p>
    <w:p w:rsidR="00981A28" w:rsidRPr="001509EC" w:rsidRDefault="00981A28" w:rsidP="00981A28">
      <w:pPr>
        <w:tabs>
          <w:tab w:val="left" w:pos="142"/>
        </w:tabs>
        <w:ind w:right="902"/>
        <w:rPr>
          <w:rFonts w:ascii="Verdana" w:hAnsi="Verdana"/>
          <w:b/>
          <w:lang w:val="es-CL"/>
        </w:rPr>
      </w:pPr>
      <w:r w:rsidRPr="001509EC">
        <w:rPr>
          <w:rFonts w:ascii="Verdana" w:hAnsi="Verdana"/>
          <w:b/>
          <w:lang w:val="es-CL"/>
        </w:rPr>
        <w:t>GLOSAS MOP</w:t>
      </w:r>
    </w:p>
    <w:p w:rsidR="00981A28" w:rsidRPr="001509EC" w:rsidRDefault="00981A28" w:rsidP="00981A28">
      <w:pPr>
        <w:tabs>
          <w:tab w:val="left" w:pos="142"/>
        </w:tabs>
        <w:ind w:right="902"/>
        <w:rPr>
          <w:rFonts w:ascii="Verdana" w:hAnsi="Verdana"/>
          <w:lang w:val="es-CL"/>
        </w:rPr>
      </w:pPr>
    </w:p>
    <w:p w:rsidR="000A44F9" w:rsidRPr="001509EC" w:rsidRDefault="000A44F9" w:rsidP="000A44F9">
      <w:pPr>
        <w:tabs>
          <w:tab w:val="left" w:pos="142"/>
        </w:tabs>
        <w:ind w:right="902"/>
        <w:jc w:val="both"/>
        <w:rPr>
          <w:rFonts w:ascii="Verdana" w:hAnsi="Verdana"/>
          <w:b/>
          <w:lang w:val="es-CL"/>
        </w:rPr>
      </w:pPr>
      <w:r w:rsidRPr="001509EC">
        <w:rPr>
          <w:rFonts w:ascii="Verdana" w:hAnsi="Verdana"/>
          <w:b/>
          <w:lang w:val="es-CL"/>
        </w:rPr>
        <w:t>Glosa Común</w:t>
      </w:r>
    </w:p>
    <w:p w:rsidR="000A44F9" w:rsidRPr="001509EC" w:rsidRDefault="000A44F9" w:rsidP="000A44F9">
      <w:pPr>
        <w:tabs>
          <w:tab w:val="left" w:pos="142"/>
        </w:tabs>
        <w:ind w:right="902"/>
        <w:jc w:val="both"/>
        <w:rPr>
          <w:rFonts w:ascii="Verdana" w:hAnsi="Verdana"/>
          <w:lang w:val="es-CL"/>
        </w:rPr>
      </w:pPr>
    </w:p>
    <w:p w:rsidR="00144AFE" w:rsidRPr="001509EC" w:rsidRDefault="00144AFE" w:rsidP="00144AFE">
      <w:pPr>
        <w:tabs>
          <w:tab w:val="left" w:pos="142"/>
        </w:tabs>
        <w:ind w:right="49"/>
        <w:jc w:val="both"/>
        <w:rPr>
          <w:rFonts w:ascii="Verdana" w:hAnsi="Verdana"/>
          <w:lang w:val="es-CL"/>
        </w:rPr>
      </w:pPr>
      <w:r w:rsidRPr="001509EC">
        <w:rPr>
          <w:rFonts w:ascii="Verdana" w:hAnsi="Verdana"/>
          <w:lang w:val="es-CL"/>
        </w:rPr>
        <w:t>Los datos se encuentran actualizados en SAFI</w:t>
      </w:r>
    </w:p>
    <w:p w:rsidR="00144AFE" w:rsidRPr="001509EC" w:rsidRDefault="00144AFE" w:rsidP="00144AFE">
      <w:pPr>
        <w:tabs>
          <w:tab w:val="left" w:pos="142"/>
        </w:tabs>
        <w:ind w:right="49"/>
        <w:jc w:val="both"/>
        <w:rPr>
          <w:rFonts w:ascii="Verdana" w:hAnsi="Verdana"/>
          <w:lang w:val="es-CL"/>
        </w:rPr>
      </w:pPr>
    </w:p>
    <w:p w:rsidR="000A44F9" w:rsidRPr="001509EC" w:rsidRDefault="00144AFE" w:rsidP="00144AFE">
      <w:pPr>
        <w:tabs>
          <w:tab w:val="left" w:pos="142"/>
        </w:tabs>
        <w:ind w:right="49"/>
        <w:jc w:val="both"/>
        <w:rPr>
          <w:rFonts w:ascii="Verdana" w:hAnsi="Verdana"/>
          <w:lang w:val="es-CL"/>
        </w:rPr>
      </w:pPr>
      <w:r w:rsidRPr="001509EC">
        <w:rPr>
          <w:rFonts w:ascii="Verdana" w:hAnsi="Verdana"/>
          <w:lang w:val="es-CL"/>
        </w:rPr>
        <w:t>Respecto a estudios e investigaciones Subtítulo 22, no aplica a APR</w:t>
      </w:r>
    </w:p>
    <w:p w:rsidR="000A44F9" w:rsidRPr="001509EC" w:rsidRDefault="000A44F9" w:rsidP="000A44F9">
      <w:pPr>
        <w:tabs>
          <w:tab w:val="left" w:pos="142"/>
        </w:tabs>
        <w:ind w:right="902"/>
        <w:jc w:val="both"/>
        <w:rPr>
          <w:rFonts w:ascii="Verdana" w:hAnsi="Verdana"/>
          <w:lang w:val="es-CL"/>
        </w:rPr>
      </w:pPr>
    </w:p>
    <w:p w:rsidR="00981A28" w:rsidRPr="001509EC" w:rsidRDefault="00981A28" w:rsidP="00981A28">
      <w:pPr>
        <w:tabs>
          <w:tab w:val="left" w:pos="142"/>
        </w:tabs>
        <w:ind w:right="902"/>
        <w:rPr>
          <w:rFonts w:ascii="Verdana" w:hAnsi="Verdana"/>
          <w:b/>
          <w:lang w:val="es-CL"/>
        </w:rPr>
      </w:pPr>
      <w:r w:rsidRPr="001509EC">
        <w:rPr>
          <w:rFonts w:ascii="Verdana" w:hAnsi="Verdana"/>
          <w:b/>
          <w:lang w:val="es-CL"/>
        </w:rPr>
        <w:t>Glosa 08:</w:t>
      </w:r>
    </w:p>
    <w:p w:rsidR="00981A28" w:rsidRPr="001509EC" w:rsidRDefault="00981A28" w:rsidP="00981A28">
      <w:pPr>
        <w:tabs>
          <w:tab w:val="left" w:pos="142"/>
        </w:tabs>
        <w:ind w:right="902"/>
        <w:rPr>
          <w:rFonts w:ascii="Verdana" w:hAnsi="Verdana"/>
          <w:b/>
          <w:lang w:val="es-CL"/>
        </w:rPr>
      </w:pPr>
    </w:p>
    <w:p w:rsidR="003416FB" w:rsidRPr="001509EC" w:rsidRDefault="003D3813" w:rsidP="00144AFE">
      <w:pPr>
        <w:shd w:val="clear" w:color="auto" w:fill="FFFFFF"/>
        <w:jc w:val="both"/>
        <w:rPr>
          <w:rFonts w:ascii="Verdana" w:hAnsi="Verdana"/>
          <w:lang w:val="es-CL"/>
        </w:rPr>
      </w:pPr>
      <w:r w:rsidRPr="001509EC">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rsidR="002A57AA" w:rsidRPr="001509EC" w:rsidRDefault="002A57AA" w:rsidP="00144AFE">
      <w:pPr>
        <w:shd w:val="clear" w:color="auto" w:fill="FFFFFF"/>
        <w:jc w:val="both"/>
        <w:rPr>
          <w:rFonts w:ascii="Verdana" w:hAnsi="Verdana"/>
          <w:lang w:val="es-CL"/>
        </w:rPr>
      </w:pPr>
    </w:p>
    <w:p w:rsidR="002A57AA" w:rsidRPr="001509EC" w:rsidRDefault="00AF4302" w:rsidP="002A57AA">
      <w:pPr>
        <w:shd w:val="clear" w:color="auto" w:fill="FFFFFF"/>
        <w:jc w:val="both"/>
        <w:rPr>
          <w:rFonts w:ascii="Verdana" w:hAnsi="Verdana"/>
          <w:lang w:val="es-CL"/>
        </w:rPr>
      </w:pPr>
      <w:r w:rsidRPr="001509EC">
        <w:rPr>
          <w:rFonts w:ascii="Verdana" w:hAnsi="Verdana"/>
          <w:lang w:val="es-CL"/>
        </w:rPr>
        <w:t>N</w:t>
      </w:r>
      <w:r w:rsidRPr="001509EC">
        <w:rPr>
          <w:rFonts w:ascii="Verdana" w:hAnsi="Verdana"/>
          <w:lang w:val="es-CL"/>
        </w:rPr>
        <w:t>o hay en curso modificaciones a manuales</w:t>
      </w:r>
      <w:r w:rsidR="002A57AA" w:rsidRPr="001509EC">
        <w:rPr>
          <w:rFonts w:asciiTheme="minorHAnsi" w:eastAsiaTheme="minorHAnsi" w:hAnsiTheme="minorHAnsi" w:cstheme="minorBidi"/>
          <w:sz w:val="32"/>
          <w:szCs w:val="32"/>
          <w:lang w:val="es-CL"/>
        </w:rPr>
        <w:t>.</w:t>
      </w:r>
    </w:p>
    <w:p w:rsidR="002A57AA" w:rsidRPr="001509EC" w:rsidRDefault="002A57AA" w:rsidP="002A57AA">
      <w:pPr>
        <w:shd w:val="clear" w:color="auto" w:fill="FFFFFF"/>
        <w:jc w:val="both"/>
        <w:rPr>
          <w:rFonts w:ascii="Verdana" w:hAnsi="Verdana"/>
          <w:lang w:val="es-CL"/>
        </w:rPr>
      </w:pPr>
    </w:p>
    <w:p w:rsidR="002A57AA" w:rsidRPr="001509EC" w:rsidRDefault="002A57AA" w:rsidP="002A57AA">
      <w:pPr>
        <w:shd w:val="clear" w:color="auto" w:fill="FFFFFF"/>
        <w:jc w:val="both"/>
        <w:rPr>
          <w:rFonts w:ascii="Verdana" w:hAnsi="Verdana"/>
          <w:lang w:val="es-CL"/>
        </w:rPr>
      </w:pPr>
      <w:r w:rsidRPr="001509EC">
        <w:rPr>
          <w:rFonts w:ascii="Verdana" w:hAnsi="Verdana"/>
          <w:lang w:val="es-CL"/>
        </w:rPr>
        <w:t xml:space="preserve">Actualmente, dada la entrada en vigencia de la Ley 20.998 el día 20 de noviembre de 2020, se trabajó en la actualización de los criterios de diseño durante el año 2021 de acuerdo a lo establecido en el Reglamento de dicha Ley, incorporando recomendaciones de otros servicios con los que se ha interactuado como el </w:t>
      </w:r>
      <w:r w:rsidRPr="001509EC">
        <w:rPr>
          <w:rFonts w:ascii="Verdana" w:hAnsi="Verdana"/>
          <w:lang w:val="es-CL"/>
        </w:rPr>
        <w:lastRenderedPageBreak/>
        <w:t xml:space="preserve">Ministerio de Desarrollo Social y la Superintendencia de Servicios Sanitarios. La actualización está realizada y sólo falta terminar textos de presentación de autoridades ministeriales para emitir resolución que aprueba la actualización, una vez tramitada la resolución se procede a publicar la versión actualizada en el sitio web de la Subdirección de Servicios Sanitarios Rurales, se espera que esto ocurra durante </w:t>
      </w:r>
      <w:r w:rsidR="00AF4302" w:rsidRPr="001509EC">
        <w:rPr>
          <w:rFonts w:ascii="Verdana" w:hAnsi="Verdana"/>
          <w:lang w:val="es-CL"/>
        </w:rPr>
        <w:t>el año</w:t>
      </w:r>
      <w:r w:rsidRPr="001509EC">
        <w:rPr>
          <w:rFonts w:ascii="Verdana" w:hAnsi="Verdana"/>
          <w:lang w:val="es-CL"/>
        </w:rPr>
        <w:t xml:space="preserve"> 2022.</w:t>
      </w:r>
    </w:p>
    <w:p w:rsidR="00981A28" w:rsidRPr="001509EC" w:rsidRDefault="00981A28" w:rsidP="00981A28">
      <w:pPr>
        <w:tabs>
          <w:tab w:val="left" w:pos="142"/>
        </w:tabs>
        <w:ind w:right="902"/>
        <w:rPr>
          <w:rFonts w:ascii="Verdana" w:hAnsi="Verdana"/>
          <w:b/>
          <w:lang w:val="es-CL"/>
        </w:rPr>
      </w:pPr>
    </w:p>
    <w:p w:rsidR="000A44F9" w:rsidRPr="001509EC" w:rsidRDefault="000A44F9" w:rsidP="000A44F9">
      <w:pPr>
        <w:tabs>
          <w:tab w:val="left" w:pos="142"/>
        </w:tabs>
        <w:ind w:right="902"/>
        <w:jc w:val="both"/>
        <w:rPr>
          <w:rFonts w:ascii="Verdana" w:hAnsi="Verdana"/>
          <w:b/>
          <w:lang w:val="es-CL"/>
        </w:rPr>
      </w:pPr>
      <w:r w:rsidRPr="001509EC">
        <w:rPr>
          <w:rFonts w:ascii="Verdana" w:hAnsi="Verdana"/>
          <w:b/>
          <w:lang w:val="es-CL"/>
        </w:rPr>
        <w:t>Glosa 17</w:t>
      </w:r>
    </w:p>
    <w:p w:rsidR="000A44F9" w:rsidRPr="001509EC" w:rsidRDefault="000A44F9" w:rsidP="000A44F9">
      <w:pPr>
        <w:tabs>
          <w:tab w:val="left" w:pos="142"/>
        </w:tabs>
        <w:ind w:right="902"/>
        <w:jc w:val="both"/>
        <w:rPr>
          <w:rFonts w:ascii="Verdana" w:hAnsi="Verdana"/>
          <w:lang w:val="es-CL"/>
        </w:rPr>
      </w:pPr>
    </w:p>
    <w:p w:rsidR="000A44F9" w:rsidRPr="001509EC" w:rsidRDefault="003D3813" w:rsidP="00144AFE">
      <w:pPr>
        <w:tabs>
          <w:tab w:val="left" w:pos="142"/>
        </w:tabs>
        <w:ind w:right="49"/>
        <w:jc w:val="both"/>
        <w:rPr>
          <w:rFonts w:ascii="Verdana" w:hAnsi="Verdana"/>
          <w:b/>
          <w:lang w:val="es-CL"/>
        </w:rPr>
      </w:pPr>
      <w:r w:rsidRPr="001509EC">
        <w:rPr>
          <w:rFonts w:ascii="Verdana" w:hAnsi="Verdana"/>
          <w:lang w:val="es-CL"/>
        </w:rPr>
        <w:t>Trimestralmente desde la entrada en vigencia de esta ley, quien o quienes correspondan informarán a la Comisión de Recursos Hídricos de la Cámara de Diputados, a la Comisión de Obras Públicas del Senado y a la Comisión Especial Mixta de Presupuestos, los plazos y medidas contempladas para la regularización de Derechos de Aguas para los Comités de Agua Potable Rural, así como el estado de avance en el proceso de regularización de dichos Derechos.</w:t>
      </w:r>
    </w:p>
    <w:p w:rsidR="000A44F9" w:rsidRPr="001509EC" w:rsidRDefault="000A44F9" w:rsidP="00981A28">
      <w:pPr>
        <w:tabs>
          <w:tab w:val="left" w:pos="142"/>
        </w:tabs>
        <w:ind w:right="902"/>
        <w:rPr>
          <w:rFonts w:ascii="Verdana" w:hAnsi="Verdana"/>
          <w:lang w:val="es-CL"/>
        </w:rPr>
      </w:pPr>
    </w:p>
    <w:p w:rsidR="002A57AA" w:rsidRPr="001509EC" w:rsidRDefault="002A57AA" w:rsidP="002A57AA">
      <w:pPr>
        <w:tabs>
          <w:tab w:val="left" w:pos="142"/>
        </w:tabs>
        <w:ind w:right="49"/>
        <w:rPr>
          <w:rFonts w:ascii="Verdana" w:hAnsi="Verdana"/>
          <w:lang w:val="es-CL"/>
        </w:rPr>
      </w:pPr>
      <w:r w:rsidRPr="001509EC">
        <w:rPr>
          <w:rFonts w:ascii="Verdana" w:hAnsi="Verdana"/>
          <w:lang w:val="es-CL"/>
        </w:rPr>
        <w:t xml:space="preserve">Se adjunta Minuta informativa de Regularización de Derechos de agua. </w:t>
      </w:r>
    </w:p>
    <w:p w:rsidR="002A57AA" w:rsidRPr="001509EC" w:rsidRDefault="002A57AA" w:rsidP="00981A28">
      <w:pPr>
        <w:tabs>
          <w:tab w:val="left" w:pos="142"/>
        </w:tabs>
        <w:ind w:right="902"/>
        <w:rPr>
          <w:rFonts w:ascii="Verdana" w:hAnsi="Verdana"/>
          <w:lang w:val="es-CL"/>
        </w:rPr>
      </w:pPr>
    </w:p>
    <w:p w:rsidR="00981A28" w:rsidRPr="001509EC" w:rsidRDefault="00981A28" w:rsidP="00981A28">
      <w:pPr>
        <w:tabs>
          <w:tab w:val="left" w:pos="142"/>
        </w:tabs>
        <w:ind w:right="902"/>
        <w:rPr>
          <w:rFonts w:ascii="Verdana" w:hAnsi="Verdana"/>
          <w:b/>
          <w:lang w:val="es-CL"/>
        </w:rPr>
      </w:pPr>
      <w:r w:rsidRPr="001509EC">
        <w:rPr>
          <w:rFonts w:ascii="Verdana" w:hAnsi="Verdana"/>
          <w:b/>
          <w:lang w:val="es-CL"/>
        </w:rPr>
        <w:t>GLOSAS APR</w:t>
      </w:r>
    </w:p>
    <w:p w:rsidR="00981A28" w:rsidRPr="001509EC" w:rsidRDefault="00981A28" w:rsidP="00981A28">
      <w:pPr>
        <w:tabs>
          <w:tab w:val="left" w:pos="142"/>
        </w:tabs>
        <w:ind w:right="902"/>
        <w:rPr>
          <w:rFonts w:ascii="Verdana" w:hAnsi="Verdana"/>
          <w:b/>
          <w:lang w:val="es-CL"/>
        </w:rPr>
      </w:pPr>
    </w:p>
    <w:p w:rsidR="00742982" w:rsidRPr="001509EC" w:rsidRDefault="00742982" w:rsidP="00742982">
      <w:pPr>
        <w:tabs>
          <w:tab w:val="left" w:pos="142"/>
        </w:tabs>
        <w:ind w:right="902"/>
        <w:rPr>
          <w:rFonts w:ascii="Verdana" w:hAnsi="Verdana"/>
          <w:b/>
          <w:lang w:val="es-CL"/>
        </w:rPr>
      </w:pPr>
      <w:r w:rsidRPr="001509EC">
        <w:rPr>
          <w:rFonts w:ascii="Verdana" w:hAnsi="Verdana"/>
          <w:b/>
          <w:lang w:val="es-CL"/>
        </w:rPr>
        <w:t>Glosa 0</w:t>
      </w:r>
      <w:r w:rsidR="003D3813" w:rsidRPr="001509EC">
        <w:rPr>
          <w:rFonts w:ascii="Verdana" w:hAnsi="Verdana"/>
          <w:b/>
          <w:lang w:val="es-CL"/>
        </w:rPr>
        <w:t>4</w:t>
      </w:r>
      <w:r w:rsidRPr="001509EC">
        <w:rPr>
          <w:rFonts w:ascii="Verdana" w:hAnsi="Verdana"/>
          <w:b/>
          <w:lang w:val="es-CL"/>
        </w:rPr>
        <w:t>:</w:t>
      </w:r>
    </w:p>
    <w:p w:rsidR="00E162AB" w:rsidRPr="001509EC" w:rsidRDefault="00E162AB" w:rsidP="00E162AB">
      <w:pPr>
        <w:tabs>
          <w:tab w:val="left" w:pos="142"/>
        </w:tabs>
        <w:ind w:right="902"/>
        <w:jc w:val="both"/>
        <w:rPr>
          <w:rFonts w:ascii="Verdana" w:hAnsi="Verdana"/>
          <w:lang w:val="es-CL"/>
        </w:rPr>
      </w:pPr>
    </w:p>
    <w:p w:rsidR="00333072" w:rsidRPr="001509EC" w:rsidRDefault="001509EC" w:rsidP="00E162AB">
      <w:pPr>
        <w:tabs>
          <w:tab w:val="left" w:pos="142"/>
        </w:tabs>
        <w:ind w:right="902"/>
        <w:jc w:val="both"/>
        <w:rPr>
          <w:rFonts w:ascii="Verdana" w:hAnsi="Verdana"/>
          <w:lang w:val="es-CL"/>
        </w:rPr>
      </w:pPr>
      <w:r w:rsidRPr="001509EC">
        <w:drawing>
          <wp:inline distT="0" distB="0" distL="0" distR="0">
            <wp:extent cx="6332220" cy="1121528"/>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1121528"/>
                    </a:xfrm>
                    <a:prstGeom prst="rect">
                      <a:avLst/>
                    </a:prstGeom>
                    <a:noFill/>
                    <a:ln>
                      <a:noFill/>
                    </a:ln>
                  </pic:spPr>
                </pic:pic>
              </a:graphicData>
            </a:graphic>
          </wp:inline>
        </w:drawing>
      </w:r>
    </w:p>
    <w:p w:rsidR="00280B89" w:rsidRPr="001509EC" w:rsidRDefault="00280B89" w:rsidP="00E162AB">
      <w:pPr>
        <w:tabs>
          <w:tab w:val="left" w:pos="142"/>
        </w:tabs>
        <w:ind w:right="902"/>
        <w:jc w:val="both"/>
        <w:rPr>
          <w:rFonts w:ascii="Verdana" w:hAnsi="Verdana"/>
          <w:lang w:val="es-CL"/>
        </w:rPr>
      </w:pPr>
    </w:p>
    <w:p w:rsidR="00280B89" w:rsidRPr="001509EC" w:rsidRDefault="001509EC" w:rsidP="00E162AB">
      <w:pPr>
        <w:tabs>
          <w:tab w:val="left" w:pos="142"/>
        </w:tabs>
        <w:ind w:right="902"/>
        <w:jc w:val="both"/>
        <w:rPr>
          <w:rFonts w:ascii="Verdana" w:hAnsi="Verdana"/>
          <w:lang w:val="es-CL"/>
        </w:rPr>
      </w:pPr>
      <w:r w:rsidRPr="001509EC">
        <w:drawing>
          <wp:inline distT="0" distB="0" distL="0" distR="0">
            <wp:extent cx="6332220" cy="240687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2406874"/>
                    </a:xfrm>
                    <a:prstGeom prst="rect">
                      <a:avLst/>
                    </a:prstGeom>
                    <a:noFill/>
                    <a:ln>
                      <a:noFill/>
                    </a:ln>
                  </pic:spPr>
                </pic:pic>
              </a:graphicData>
            </a:graphic>
          </wp:inline>
        </w:drawing>
      </w:r>
    </w:p>
    <w:p w:rsidR="0034719D" w:rsidRPr="001509EC" w:rsidRDefault="0034719D" w:rsidP="00E162AB">
      <w:pPr>
        <w:tabs>
          <w:tab w:val="left" w:pos="142"/>
        </w:tabs>
        <w:ind w:right="902"/>
        <w:jc w:val="both"/>
        <w:rPr>
          <w:rFonts w:ascii="Verdana" w:hAnsi="Verdana"/>
          <w:lang w:val="es-CL"/>
        </w:rPr>
      </w:pPr>
    </w:p>
    <w:p w:rsidR="00280B89" w:rsidRPr="001509EC" w:rsidRDefault="00280B89" w:rsidP="00E162AB">
      <w:pPr>
        <w:tabs>
          <w:tab w:val="left" w:pos="142"/>
        </w:tabs>
        <w:ind w:right="902"/>
        <w:jc w:val="both"/>
        <w:rPr>
          <w:rFonts w:ascii="Verdana" w:hAnsi="Verdana"/>
          <w:lang w:val="es-CL"/>
        </w:rPr>
      </w:pPr>
    </w:p>
    <w:p w:rsidR="00CA61AB" w:rsidRPr="001509EC" w:rsidRDefault="00CA61AB" w:rsidP="00E162AB">
      <w:pPr>
        <w:tabs>
          <w:tab w:val="left" w:pos="142"/>
        </w:tabs>
        <w:ind w:right="902"/>
        <w:jc w:val="both"/>
        <w:rPr>
          <w:rFonts w:ascii="Verdana" w:hAnsi="Verdana"/>
          <w:lang w:val="es-CL"/>
        </w:rPr>
      </w:pPr>
    </w:p>
    <w:p w:rsidR="00CA61AB" w:rsidRPr="001509EC" w:rsidRDefault="00CA61AB" w:rsidP="00E162AB">
      <w:pPr>
        <w:tabs>
          <w:tab w:val="left" w:pos="142"/>
        </w:tabs>
        <w:ind w:right="902"/>
        <w:jc w:val="both"/>
        <w:rPr>
          <w:rFonts w:ascii="Verdana" w:hAnsi="Verdana"/>
          <w:lang w:val="es-CL"/>
        </w:rPr>
      </w:pPr>
    </w:p>
    <w:p w:rsidR="00CA61AB" w:rsidRPr="001509EC" w:rsidRDefault="001509EC" w:rsidP="00E162AB">
      <w:pPr>
        <w:tabs>
          <w:tab w:val="left" w:pos="142"/>
        </w:tabs>
        <w:ind w:right="142"/>
        <w:jc w:val="both"/>
        <w:rPr>
          <w:rFonts w:ascii="Verdana" w:hAnsi="Verdana"/>
          <w:lang w:val="es-CL"/>
        </w:rPr>
      </w:pPr>
      <w:r w:rsidRPr="001509EC">
        <w:drawing>
          <wp:inline distT="0" distB="0" distL="0" distR="0">
            <wp:extent cx="6332220" cy="566434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5664344"/>
                    </a:xfrm>
                    <a:prstGeom prst="rect">
                      <a:avLst/>
                    </a:prstGeom>
                    <a:noFill/>
                    <a:ln>
                      <a:noFill/>
                    </a:ln>
                  </pic:spPr>
                </pic:pic>
              </a:graphicData>
            </a:graphic>
          </wp:inline>
        </w:drawing>
      </w:r>
    </w:p>
    <w:p w:rsidR="00AE134B" w:rsidRPr="001509EC" w:rsidRDefault="00AE134B" w:rsidP="00E162AB">
      <w:pPr>
        <w:tabs>
          <w:tab w:val="left" w:pos="142"/>
        </w:tabs>
        <w:ind w:right="142"/>
        <w:jc w:val="both"/>
        <w:rPr>
          <w:rFonts w:ascii="Verdana" w:hAnsi="Verdana"/>
          <w:lang w:val="es-CL"/>
        </w:rPr>
      </w:pPr>
    </w:p>
    <w:p w:rsidR="001509EC" w:rsidRPr="001509EC" w:rsidRDefault="001509EC" w:rsidP="00E162AB">
      <w:pPr>
        <w:tabs>
          <w:tab w:val="left" w:pos="142"/>
        </w:tabs>
        <w:ind w:right="142"/>
        <w:jc w:val="both"/>
        <w:rPr>
          <w:rFonts w:ascii="Verdana" w:hAnsi="Verdana"/>
          <w:lang w:val="es-CL"/>
        </w:rPr>
      </w:pPr>
      <w:r w:rsidRPr="001509EC">
        <w:drawing>
          <wp:inline distT="0" distB="0" distL="0" distR="0">
            <wp:extent cx="6332220" cy="240687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2406874"/>
                    </a:xfrm>
                    <a:prstGeom prst="rect">
                      <a:avLst/>
                    </a:prstGeom>
                    <a:noFill/>
                    <a:ln>
                      <a:noFill/>
                    </a:ln>
                  </pic:spPr>
                </pic:pic>
              </a:graphicData>
            </a:graphic>
          </wp:inline>
        </w:drawing>
      </w:r>
    </w:p>
    <w:p w:rsidR="001509EC" w:rsidRPr="001509EC" w:rsidRDefault="001509EC" w:rsidP="00E162AB">
      <w:pPr>
        <w:tabs>
          <w:tab w:val="left" w:pos="142"/>
        </w:tabs>
        <w:ind w:right="142"/>
        <w:jc w:val="both"/>
      </w:pPr>
    </w:p>
    <w:p w:rsidR="001509EC" w:rsidRPr="001509EC" w:rsidRDefault="001509EC" w:rsidP="00E162AB">
      <w:pPr>
        <w:tabs>
          <w:tab w:val="left" w:pos="142"/>
        </w:tabs>
        <w:ind w:right="142"/>
        <w:jc w:val="both"/>
        <w:rPr>
          <w:rFonts w:ascii="Verdana" w:hAnsi="Verdana"/>
          <w:lang w:val="es-CL"/>
        </w:rPr>
      </w:pPr>
      <w:r w:rsidRPr="001509EC">
        <w:drawing>
          <wp:inline distT="0" distB="0" distL="0" distR="0">
            <wp:extent cx="6332220" cy="5406015"/>
            <wp:effectExtent l="0" t="0" r="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5406015"/>
                    </a:xfrm>
                    <a:prstGeom prst="rect">
                      <a:avLst/>
                    </a:prstGeom>
                    <a:noFill/>
                    <a:ln>
                      <a:noFill/>
                    </a:ln>
                  </pic:spPr>
                </pic:pic>
              </a:graphicData>
            </a:graphic>
          </wp:inline>
        </w:drawing>
      </w:r>
    </w:p>
    <w:p w:rsidR="001509EC" w:rsidRPr="001509EC" w:rsidRDefault="001509EC" w:rsidP="00E162AB">
      <w:pPr>
        <w:tabs>
          <w:tab w:val="left" w:pos="142"/>
        </w:tabs>
        <w:ind w:right="142"/>
        <w:jc w:val="both"/>
        <w:rPr>
          <w:rFonts w:ascii="Verdana" w:hAnsi="Verdana"/>
          <w:lang w:val="es-CL"/>
        </w:rPr>
      </w:pPr>
    </w:p>
    <w:p w:rsidR="003D3813" w:rsidRPr="001509EC" w:rsidRDefault="002A57AA" w:rsidP="003D3813">
      <w:pPr>
        <w:tabs>
          <w:tab w:val="left" w:pos="142"/>
        </w:tabs>
        <w:ind w:right="142"/>
        <w:jc w:val="both"/>
        <w:rPr>
          <w:rFonts w:ascii="Verdana" w:hAnsi="Verdana"/>
          <w:lang w:val="es-CL"/>
        </w:rPr>
      </w:pPr>
      <w:r w:rsidRPr="001509EC">
        <w:rPr>
          <w:rFonts w:ascii="Verdana" w:hAnsi="Verdana"/>
          <w:lang w:val="es-CL"/>
        </w:rPr>
        <w:t>Respecto a la comunicación a los Gobiernos Regionales del monto de los recursos disponibles para el año 2020, estas fueron informadas, por oficio del Ministro de Obras Públicas con fecha 31.12.21.</w:t>
      </w:r>
    </w:p>
    <w:p w:rsidR="003D3813" w:rsidRPr="001509EC" w:rsidRDefault="003D3813" w:rsidP="003D3813">
      <w:pPr>
        <w:tabs>
          <w:tab w:val="left" w:pos="142"/>
        </w:tabs>
        <w:ind w:right="142"/>
        <w:jc w:val="both"/>
        <w:rPr>
          <w:rFonts w:ascii="Verdana" w:hAnsi="Verdana"/>
          <w:lang w:val="es-CL"/>
        </w:rPr>
      </w:pPr>
    </w:p>
    <w:p w:rsidR="003D3813" w:rsidRPr="001509EC" w:rsidRDefault="00915FBF" w:rsidP="003D3813">
      <w:pPr>
        <w:tabs>
          <w:tab w:val="left" w:pos="142"/>
        </w:tabs>
        <w:ind w:right="142"/>
        <w:jc w:val="both"/>
        <w:rPr>
          <w:rFonts w:ascii="Verdana" w:hAnsi="Verdana"/>
          <w:lang w:val="es-CL"/>
        </w:rPr>
      </w:pPr>
      <w:r w:rsidRPr="001509EC">
        <w:rPr>
          <w:rFonts w:ascii="Verdana" w:hAnsi="Verdana"/>
          <w:lang w:val="es-CL"/>
        </w:rPr>
        <w:t>En cuanto a la resolución de los Consejos Regionales, respecto a la distribución de los recursos disponibles, se ha decretado de acuerdo a las disposiciones legales vigentes.</w:t>
      </w:r>
    </w:p>
    <w:p w:rsidR="003D3813" w:rsidRPr="001509EC" w:rsidRDefault="003D3813" w:rsidP="003D3813">
      <w:pPr>
        <w:tabs>
          <w:tab w:val="left" w:pos="142"/>
        </w:tabs>
        <w:ind w:right="142"/>
        <w:jc w:val="both"/>
        <w:rPr>
          <w:rFonts w:ascii="Verdana" w:hAnsi="Verdana"/>
          <w:lang w:val="es-CL"/>
        </w:rPr>
      </w:pPr>
    </w:p>
    <w:p w:rsidR="00E162AB" w:rsidRPr="001509EC" w:rsidRDefault="00734EFA" w:rsidP="00E162AB">
      <w:pPr>
        <w:tabs>
          <w:tab w:val="left" w:pos="142"/>
        </w:tabs>
        <w:ind w:right="142"/>
        <w:jc w:val="both"/>
        <w:rPr>
          <w:rFonts w:ascii="Verdana" w:hAnsi="Verdana"/>
          <w:lang w:val="es-CL"/>
        </w:rPr>
      </w:pPr>
      <w:r w:rsidRPr="001509EC">
        <w:rPr>
          <w:rFonts w:ascii="Verdana" w:hAnsi="Verdana"/>
          <w:lang w:val="es-CL"/>
        </w:rPr>
        <w:t>La</w:t>
      </w:r>
      <w:r w:rsidR="00E162AB" w:rsidRPr="001509EC">
        <w:rPr>
          <w:rFonts w:ascii="Verdana" w:hAnsi="Verdana"/>
          <w:lang w:val="es-CL"/>
        </w:rPr>
        <w:t xml:space="preserve"> ejecución de los proyectos de Conservación se rigen</w:t>
      </w:r>
      <w:r w:rsidR="00F7281A" w:rsidRPr="001509EC">
        <w:rPr>
          <w:rFonts w:ascii="Verdana" w:hAnsi="Verdana"/>
          <w:lang w:val="es-CL"/>
        </w:rPr>
        <w:t>,</w:t>
      </w:r>
      <w:r w:rsidR="00E162AB" w:rsidRPr="001509EC">
        <w:rPr>
          <w:rFonts w:ascii="Verdana" w:hAnsi="Verdana"/>
          <w:lang w:val="es-CL"/>
        </w:rPr>
        <w:t xml:space="preserve"> por el tope máximo establecido en la Ley</w:t>
      </w:r>
      <w:r w:rsidR="0022343A" w:rsidRPr="001509EC">
        <w:rPr>
          <w:rFonts w:ascii="Verdana" w:hAnsi="Verdana"/>
          <w:lang w:val="es-CL"/>
        </w:rPr>
        <w:t>.</w:t>
      </w:r>
    </w:p>
    <w:p w:rsidR="004924F0" w:rsidRPr="001509EC" w:rsidRDefault="004924F0" w:rsidP="00E162AB">
      <w:pPr>
        <w:rPr>
          <w:rFonts w:ascii="Verdana" w:hAnsi="Verdana"/>
          <w:lang w:val="es-CL"/>
        </w:rPr>
      </w:pPr>
    </w:p>
    <w:p w:rsidR="00AE134B" w:rsidRPr="001509EC" w:rsidRDefault="00AE134B" w:rsidP="00E162AB">
      <w:pPr>
        <w:rPr>
          <w:rFonts w:ascii="Verdana" w:hAnsi="Verdana"/>
          <w:lang w:val="es-CL"/>
        </w:rPr>
      </w:pPr>
    </w:p>
    <w:p w:rsidR="00AE134B" w:rsidRPr="001509EC" w:rsidRDefault="00AE134B" w:rsidP="00E162AB">
      <w:pPr>
        <w:rPr>
          <w:rFonts w:ascii="Verdana" w:hAnsi="Verdana"/>
          <w:lang w:val="es-CL"/>
        </w:rPr>
      </w:pPr>
    </w:p>
    <w:p w:rsidR="00AE134B" w:rsidRPr="001509EC" w:rsidRDefault="00AE134B" w:rsidP="00E162AB">
      <w:pPr>
        <w:rPr>
          <w:rFonts w:ascii="Verdana" w:hAnsi="Verdana"/>
          <w:lang w:val="es-CL"/>
        </w:rPr>
      </w:pPr>
    </w:p>
    <w:p w:rsidR="00AE134B" w:rsidRPr="001509EC" w:rsidRDefault="00AE134B" w:rsidP="00E162AB">
      <w:pPr>
        <w:rPr>
          <w:rFonts w:ascii="Verdana" w:hAnsi="Verdana"/>
          <w:lang w:val="es-CL"/>
        </w:rPr>
      </w:pPr>
    </w:p>
    <w:p w:rsidR="00AE134B" w:rsidRPr="001509EC" w:rsidRDefault="00AE134B" w:rsidP="00E162AB">
      <w:pPr>
        <w:rPr>
          <w:rFonts w:ascii="Verdana" w:hAnsi="Verdana"/>
          <w:lang w:val="es-CL"/>
        </w:rPr>
      </w:pPr>
    </w:p>
    <w:p w:rsidR="00AD16F2" w:rsidRPr="001509EC" w:rsidRDefault="00AD16F2" w:rsidP="00BA390D">
      <w:pPr>
        <w:jc w:val="both"/>
        <w:rPr>
          <w:rFonts w:ascii="Verdana" w:hAnsi="Verdana"/>
          <w:b/>
          <w:lang w:val="es-CL"/>
        </w:rPr>
      </w:pPr>
      <w:r w:rsidRPr="001509EC">
        <w:rPr>
          <w:rFonts w:ascii="Verdana" w:hAnsi="Verdana"/>
          <w:b/>
          <w:lang w:val="es-CL"/>
        </w:rPr>
        <w:t>Glosa</w:t>
      </w:r>
      <w:bookmarkStart w:id="0" w:name="_GoBack"/>
      <w:bookmarkEnd w:id="0"/>
      <w:r w:rsidRPr="001509EC">
        <w:rPr>
          <w:rFonts w:ascii="Verdana" w:hAnsi="Verdana"/>
          <w:b/>
          <w:lang w:val="es-CL"/>
        </w:rPr>
        <w:t xml:space="preserve"> 7:</w:t>
      </w:r>
    </w:p>
    <w:p w:rsidR="00AD16F2" w:rsidRPr="001509EC" w:rsidRDefault="00AD16F2" w:rsidP="00BA390D">
      <w:pPr>
        <w:jc w:val="both"/>
        <w:rPr>
          <w:rFonts w:ascii="Verdana" w:hAnsi="Verdana"/>
          <w:lang w:val="es-CL"/>
        </w:rPr>
      </w:pPr>
    </w:p>
    <w:p w:rsidR="00AD16F2" w:rsidRPr="001509EC" w:rsidRDefault="00AD16F2" w:rsidP="00BA390D">
      <w:pPr>
        <w:jc w:val="both"/>
        <w:rPr>
          <w:rFonts w:ascii="Verdana" w:hAnsi="Verdana"/>
          <w:lang w:val="es-CL"/>
        </w:rPr>
      </w:pPr>
      <w:r w:rsidRPr="001509EC">
        <w:rPr>
          <w:rFonts w:ascii="Verdana" w:hAnsi="Verdana"/>
          <w:lang w:val="es-CL"/>
        </w:rPr>
        <w:t>Se informará semestralmente a la Quinta Subcomisión y a la Comisión Especial Mixta de Presupuestos la situación de los sistemas de Agua Potable Rural, alcantarillado y plantas de tratamiento de aguas servidas, desglosados por región y localidad, indicando en cada caso el año de intervención previsto.</w:t>
      </w:r>
    </w:p>
    <w:p w:rsidR="00AF4302" w:rsidRPr="001509EC" w:rsidRDefault="00AF4302" w:rsidP="00BA390D">
      <w:pPr>
        <w:jc w:val="both"/>
        <w:rPr>
          <w:rFonts w:ascii="Verdana" w:hAnsi="Verdana"/>
          <w:lang w:val="es-CL"/>
        </w:rPr>
      </w:pPr>
    </w:p>
    <w:p w:rsidR="00AF4302" w:rsidRPr="001509EC" w:rsidRDefault="00AF4302" w:rsidP="00AF4302">
      <w:pPr>
        <w:jc w:val="both"/>
        <w:rPr>
          <w:rFonts w:ascii="Verdana" w:hAnsi="Verdana"/>
          <w:lang w:val="es-CL"/>
        </w:rPr>
      </w:pPr>
      <w:r w:rsidRPr="001509EC">
        <w:rPr>
          <w:rFonts w:ascii="Verdana" w:hAnsi="Verdana"/>
          <w:lang w:val="es-CL"/>
        </w:rPr>
        <w:t>Se adjunta Minuta servicios sanitarios rurales con sistemas de tratamiento de aguas servidas.</w:t>
      </w:r>
    </w:p>
    <w:p w:rsidR="00AD16F2" w:rsidRPr="001509EC" w:rsidRDefault="00AD16F2" w:rsidP="00BA390D">
      <w:pPr>
        <w:jc w:val="both"/>
        <w:rPr>
          <w:rFonts w:ascii="Verdana" w:hAnsi="Verdana"/>
          <w:lang w:val="es-CL"/>
        </w:rPr>
      </w:pPr>
    </w:p>
    <w:p w:rsidR="00AD16F2" w:rsidRPr="001509EC" w:rsidRDefault="00AD16F2" w:rsidP="00BA390D">
      <w:pPr>
        <w:jc w:val="both"/>
        <w:rPr>
          <w:rFonts w:ascii="Verdana" w:hAnsi="Verdana"/>
          <w:b/>
          <w:lang w:val="es-CL"/>
        </w:rPr>
      </w:pPr>
      <w:r w:rsidRPr="001509EC">
        <w:rPr>
          <w:rFonts w:ascii="Verdana" w:hAnsi="Verdana"/>
          <w:b/>
          <w:lang w:val="es-CL"/>
        </w:rPr>
        <w:t>Glosa 9:</w:t>
      </w:r>
    </w:p>
    <w:p w:rsidR="00AD16F2" w:rsidRPr="001509EC" w:rsidRDefault="00AD16F2" w:rsidP="00BA390D">
      <w:pPr>
        <w:jc w:val="both"/>
        <w:rPr>
          <w:rFonts w:ascii="Verdana" w:hAnsi="Verdana"/>
          <w:lang w:val="es-CL"/>
        </w:rPr>
      </w:pPr>
    </w:p>
    <w:p w:rsidR="00AD16F2" w:rsidRPr="001509EC" w:rsidRDefault="00AD16F2" w:rsidP="00AD16F2">
      <w:pPr>
        <w:jc w:val="both"/>
        <w:rPr>
          <w:rFonts w:ascii="Verdana" w:hAnsi="Verdana"/>
          <w:lang w:val="es-CL"/>
        </w:rPr>
      </w:pPr>
      <w:r w:rsidRPr="001509EC">
        <w:rPr>
          <w:rFonts w:ascii="Verdana" w:hAnsi="Verdana"/>
          <w:lang w:val="es-CL"/>
        </w:rPr>
        <w:t>Semestralmente, desde la entrada en vigencia de la presente ley, se informará a la Comisión de Recursos Hídricos de la Cámara de Diputados, a las Comisiones de Obras Públicas y de Recursos Hídricos, Desertificación y Sequía del Senado y a la Comisión Especial Mixta de Presupuestos sobre el estado de avance del proceso de implementación de la ley N° 20.998, que regula los Servicios Sanitarios Rurales, y su reglamento, precisando el cronograma de término de los contratos de asesoría técnica en materia de Agua Potable Rural con las empresas sanitarias.</w:t>
      </w:r>
    </w:p>
    <w:p w:rsidR="00AF4302" w:rsidRPr="001509EC" w:rsidRDefault="00AF4302" w:rsidP="00AD16F2">
      <w:pPr>
        <w:jc w:val="both"/>
        <w:rPr>
          <w:rFonts w:ascii="Verdana" w:hAnsi="Verdana"/>
          <w:lang w:val="es-CL"/>
        </w:rPr>
      </w:pPr>
    </w:p>
    <w:p w:rsidR="00AF4302" w:rsidRPr="001509EC" w:rsidRDefault="00AF4302" w:rsidP="00AF4302">
      <w:pPr>
        <w:jc w:val="both"/>
        <w:rPr>
          <w:rFonts w:ascii="Verdana" w:hAnsi="Verdana"/>
          <w:lang w:val="es-CL"/>
        </w:rPr>
      </w:pPr>
      <w:r w:rsidRPr="001509EC">
        <w:rPr>
          <w:rFonts w:ascii="Verdana" w:hAnsi="Verdana"/>
          <w:lang w:val="es-CL"/>
        </w:rPr>
        <w:t xml:space="preserve">Se adjunta Minuta servicios </w:t>
      </w:r>
      <w:r w:rsidRPr="001509EC">
        <w:rPr>
          <w:rFonts w:ascii="Verdana" w:hAnsi="Verdana"/>
          <w:lang w:val="es-CL"/>
        </w:rPr>
        <w:t>implementación de la ley 20.998.</w:t>
      </w:r>
    </w:p>
    <w:p w:rsidR="00AF4302" w:rsidRPr="001509EC" w:rsidRDefault="00AF4302" w:rsidP="00AD16F2">
      <w:pPr>
        <w:jc w:val="both"/>
        <w:rPr>
          <w:rFonts w:ascii="Verdana" w:hAnsi="Verdana"/>
          <w:lang w:val="es-CL"/>
        </w:rPr>
      </w:pPr>
    </w:p>
    <w:p w:rsidR="00AD16F2" w:rsidRPr="001509EC" w:rsidRDefault="00AD16F2" w:rsidP="00BA390D">
      <w:pPr>
        <w:jc w:val="both"/>
        <w:rPr>
          <w:rFonts w:ascii="Verdana" w:hAnsi="Verdana"/>
          <w:b/>
          <w:lang w:val="es-CL"/>
        </w:rPr>
      </w:pPr>
      <w:r w:rsidRPr="001509EC">
        <w:rPr>
          <w:rFonts w:ascii="Verdana" w:hAnsi="Verdana"/>
          <w:b/>
          <w:lang w:val="es-CL"/>
        </w:rPr>
        <w:t>Glosa 10:</w:t>
      </w:r>
    </w:p>
    <w:p w:rsidR="00AD16F2" w:rsidRPr="001509EC" w:rsidRDefault="00AD16F2" w:rsidP="00BA390D">
      <w:pPr>
        <w:jc w:val="both"/>
        <w:rPr>
          <w:rFonts w:ascii="Verdana" w:hAnsi="Verdana"/>
          <w:lang w:val="es-CL"/>
        </w:rPr>
      </w:pPr>
    </w:p>
    <w:p w:rsidR="00AD16F2" w:rsidRPr="001509EC" w:rsidRDefault="00AD16F2" w:rsidP="00BA390D">
      <w:pPr>
        <w:jc w:val="both"/>
        <w:rPr>
          <w:rFonts w:ascii="Verdana" w:hAnsi="Verdana"/>
          <w:lang w:val="es-CL"/>
        </w:rPr>
      </w:pPr>
      <w:r w:rsidRPr="001509EC">
        <w:rPr>
          <w:rFonts w:ascii="Verdana" w:hAnsi="Verdana"/>
          <w:lang w:val="es-CL"/>
        </w:rPr>
        <w:t>Se informará semestralmente a la Comisión Especial Mixta de Presupuestos sobre las inversiones, estudios y proyectos para la captación de fuentes, construcción, extensión y modificación de sistemas de Agua Potable Rural.</w:t>
      </w:r>
    </w:p>
    <w:p w:rsidR="00AF4302" w:rsidRPr="001509EC" w:rsidRDefault="00AF4302" w:rsidP="00BA390D">
      <w:pPr>
        <w:jc w:val="both"/>
        <w:rPr>
          <w:rFonts w:ascii="Verdana" w:hAnsi="Verdana"/>
          <w:lang w:val="es-CL"/>
        </w:rPr>
      </w:pPr>
    </w:p>
    <w:p w:rsidR="00AF4302" w:rsidRPr="001509EC" w:rsidRDefault="00AF4302" w:rsidP="00BA390D">
      <w:pPr>
        <w:jc w:val="both"/>
        <w:rPr>
          <w:rFonts w:ascii="Verdana" w:hAnsi="Verdana"/>
          <w:lang w:val="es-CL"/>
        </w:rPr>
      </w:pPr>
      <w:r w:rsidRPr="001509EC">
        <w:rPr>
          <w:rFonts w:ascii="Verdana" w:hAnsi="Verdana"/>
          <w:lang w:val="es-CL"/>
        </w:rPr>
        <w:t>Se adjunta Minuta Proyectos de SSR - Presupuesto Regular.</w:t>
      </w:r>
    </w:p>
    <w:p w:rsidR="00AD16F2" w:rsidRPr="001509EC" w:rsidRDefault="00AD16F2" w:rsidP="00BA390D">
      <w:pPr>
        <w:jc w:val="both"/>
        <w:rPr>
          <w:rFonts w:ascii="Verdana" w:hAnsi="Verdana"/>
          <w:lang w:val="es-CL"/>
        </w:rPr>
      </w:pPr>
    </w:p>
    <w:p w:rsidR="00BA390D" w:rsidRPr="001509EC" w:rsidRDefault="00BA390D" w:rsidP="00BA390D">
      <w:pPr>
        <w:jc w:val="both"/>
        <w:rPr>
          <w:rFonts w:ascii="Verdana" w:hAnsi="Verdana"/>
          <w:sz w:val="22"/>
          <w:szCs w:val="22"/>
          <w:lang w:val="es-CL"/>
        </w:rPr>
      </w:pPr>
      <w:r w:rsidRPr="001509EC">
        <w:rPr>
          <w:rFonts w:ascii="Verdana" w:hAnsi="Verdana"/>
          <w:b/>
          <w:lang w:val="es-CL"/>
        </w:rPr>
        <w:t>Glosa 1</w:t>
      </w:r>
      <w:r w:rsidR="003D3813" w:rsidRPr="001509EC">
        <w:rPr>
          <w:rFonts w:ascii="Verdana" w:hAnsi="Verdana"/>
          <w:b/>
          <w:lang w:val="es-CL"/>
        </w:rPr>
        <w:t>1</w:t>
      </w:r>
      <w:r w:rsidRPr="001509EC">
        <w:rPr>
          <w:rFonts w:ascii="Verdana" w:hAnsi="Verdana"/>
          <w:b/>
          <w:lang w:val="es-CL"/>
        </w:rPr>
        <w:t>:</w:t>
      </w:r>
    </w:p>
    <w:p w:rsidR="00BA390D" w:rsidRPr="001509EC" w:rsidRDefault="00BA390D" w:rsidP="00BA390D">
      <w:pPr>
        <w:jc w:val="both"/>
        <w:rPr>
          <w:rFonts w:ascii="Verdana" w:hAnsi="Verdana"/>
          <w:lang w:val="es-CL"/>
        </w:rPr>
      </w:pPr>
    </w:p>
    <w:p w:rsidR="003D3813" w:rsidRPr="001509EC" w:rsidRDefault="003D3813" w:rsidP="00BA390D">
      <w:pPr>
        <w:jc w:val="both"/>
        <w:rPr>
          <w:rFonts w:ascii="Verdana" w:hAnsi="Verdana"/>
          <w:lang w:val="es-CL"/>
        </w:rPr>
      </w:pPr>
      <w:r w:rsidRPr="001509EC">
        <w:rPr>
          <w:rFonts w:ascii="Verdana" w:hAnsi="Verdana"/>
          <w:lang w:val="es-CL"/>
        </w:rPr>
        <w:t>La Dirección de Obras Hidráulicas informará trimestralmente a la Comisión de Obras Públicas del Senado, respecto del avance de programas y proyectos para cobertura de obras de saneamiento rural con detalle por cada región del país.</w:t>
      </w:r>
    </w:p>
    <w:p w:rsidR="003D3813" w:rsidRPr="001509EC" w:rsidRDefault="003D3813" w:rsidP="00BA390D">
      <w:pPr>
        <w:jc w:val="both"/>
        <w:rPr>
          <w:rFonts w:ascii="Verdana" w:hAnsi="Verdana"/>
          <w:lang w:val="es-CL"/>
        </w:rPr>
      </w:pPr>
    </w:p>
    <w:p w:rsidR="0078204A" w:rsidRPr="001509EC" w:rsidRDefault="002A57AA" w:rsidP="00BA390D">
      <w:pPr>
        <w:jc w:val="both"/>
        <w:rPr>
          <w:rFonts w:ascii="Verdana" w:hAnsi="Verdana"/>
          <w:lang w:val="es-CL"/>
        </w:rPr>
      </w:pPr>
      <w:r w:rsidRPr="001509EC">
        <w:rPr>
          <w:rFonts w:ascii="Verdana" w:hAnsi="Verdana"/>
          <w:lang w:val="es-CL"/>
        </w:rPr>
        <w:t>La Ley 20.998 entró en vigencia el 21 de noviembre de 2020. Con la creación de la Subdirección de Servicios Sanitarios Rurales, la Dirección de Obras Hidráulicas podrá invertir en iniciativas de inversión de recolección, tratamiento y disposición de aguas residuales, como también en el manejo de lodos. Sin embargo, para el año 2022 la Glosa Presupuestaria no incluye este tipo de inversión, sin perjuicio de aquello, la Subdirección generó una cartera de Conservación en Sistemas de Saneamiento Rural y la presentó a DIPRES para Decreto de Fondos, estos fondos aún no se decretan.</w:t>
      </w:r>
    </w:p>
    <w:p w:rsidR="00AF4302" w:rsidRPr="001509EC" w:rsidRDefault="00AF4302" w:rsidP="00BA390D">
      <w:pPr>
        <w:jc w:val="both"/>
        <w:rPr>
          <w:rFonts w:ascii="Verdana" w:hAnsi="Verdana"/>
          <w:lang w:val="es-CL"/>
        </w:rPr>
      </w:pPr>
    </w:p>
    <w:p w:rsidR="00AF4302" w:rsidRPr="001509EC" w:rsidRDefault="00AF4302" w:rsidP="00BA390D">
      <w:pPr>
        <w:jc w:val="both"/>
        <w:rPr>
          <w:rFonts w:ascii="Verdana" w:hAnsi="Verdana"/>
          <w:lang w:val="es-CL"/>
        </w:rPr>
      </w:pPr>
      <w:r w:rsidRPr="001509EC">
        <w:rPr>
          <w:rFonts w:ascii="Verdana" w:hAnsi="Verdana"/>
          <w:lang w:val="es-CL"/>
        </w:rPr>
        <w:t>Se adjunta Detalle.</w:t>
      </w:r>
    </w:p>
    <w:sectPr w:rsidR="00AF4302" w:rsidRPr="001509EC" w:rsidSect="009D0E53">
      <w:headerReference w:type="default" r:id="rId13"/>
      <w:footerReference w:type="default" r:id="rId14"/>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1F" w:rsidRDefault="0023001F">
      <w:r>
        <w:separator/>
      </w:r>
    </w:p>
  </w:endnote>
  <w:endnote w:type="continuationSeparator" w:id="0">
    <w:p w:rsidR="0023001F" w:rsidRDefault="0023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1F" w:rsidRDefault="0023001F">
      <w:r>
        <w:separator/>
      </w:r>
    </w:p>
  </w:footnote>
  <w:footnote w:type="continuationSeparator" w:id="0">
    <w:p w:rsidR="0023001F" w:rsidRDefault="0023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509EC"/>
    <w:rsid w:val="001666BC"/>
    <w:rsid w:val="00170AFC"/>
    <w:rsid w:val="0018116A"/>
    <w:rsid w:val="0019056B"/>
    <w:rsid w:val="001A7412"/>
    <w:rsid w:val="001B0AC1"/>
    <w:rsid w:val="001D2D89"/>
    <w:rsid w:val="001F04BF"/>
    <w:rsid w:val="001F320E"/>
    <w:rsid w:val="00222F9E"/>
    <w:rsid w:val="0022343A"/>
    <w:rsid w:val="0022392C"/>
    <w:rsid w:val="0023001F"/>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52794"/>
    <w:rsid w:val="00477C94"/>
    <w:rsid w:val="004924F0"/>
    <w:rsid w:val="004C5A89"/>
    <w:rsid w:val="004D7C2B"/>
    <w:rsid w:val="00521C55"/>
    <w:rsid w:val="00527352"/>
    <w:rsid w:val="0054541D"/>
    <w:rsid w:val="00546966"/>
    <w:rsid w:val="005850FB"/>
    <w:rsid w:val="005A4A3D"/>
    <w:rsid w:val="005B7B1E"/>
    <w:rsid w:val="005C07D9"/>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16F2"/>
    <w:rsid w:val="00AD6A0E"/>
    <w:rsid w:val="00AE134B"/>
    <w:rsid w:val="00AF1B1F"/>
    <w:rsid w:val="00AF4302"/>
    <w:rsid w:val="00B033DB"/>
    <w:rsid w:val="00B112C9"/>
    <w:rsid w:val="00B15FA0"/>
    <w:rsid w:val="00B16F9F"/>
    <w:rsid w:val="00B20320"/>
    <w:rsid w:val="00B21AE9"/>
    <w:rsid w:val="00B34A96"/>
    <w:rsid w:val="00B437A2"/>
    <w:rsid w:val="00B504E2"/>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4CEB6541-F633-4EEC-9183-3B53B1395E5A}"/>
</file>

<file path=customXml/itemProps2.xml><?xml version="1.0" encoding="utf-8"?>
<ds:datastoreItem xmlns:ds="http://schemas.openxmlformats.org/officeDocument/2006/customXml" ds:itemID="{EFF8FE4A-DB26-49A8-8405-C1D5F58A6057}"/>
</file>

<file path=customXml/itemProps3.xml><?xml version="1.0" encoding="utf-8"?>
<ds:datastoreItem xmlns:ds="http://schemas.openxmlformats.org/officeDocument/2006/customXml" ds:itemID="{22208F31-59C2-4854-B8B9-3234855F339F}"/>
</file>

<file path=docProps/app.xml><?xml version="1.0" encoding="utf-8"?>
<Properties xmlns="http://schemas.openxmlformats.org/officeDocument/2006/extended-properties" xmlns:vt="http://schemas.openxmlformats.org/officeDocument/2006/docPropsVTypes">
  <Template>Normal</Template>
  <TotalTime>72</TotalTime>
  <Pages>5</Pages>
  <Words>715</Words>
  <Characters>3938</Characters>
  <Application>Microsoft Office Word</Application>
  <DocSecurity>0</DocSecurity>
  <Lines>32</Lines>
  <Paragraphs>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Gustavo Figueroa Garrido (DOH)</cp:lastModifiedBy>
  <cp:revision>5</cp:revision>
  <cp:lastPrinted>2011-04-04T22:43:00Z</cp:lastPrinted>
  <dcterms:created xsi:type="dcterms:W3CDTF">2022-07-12T18:12:00Z</dcterms:created>
  <dcterms:modified xsi:type="dcterms:W3CDTF">2022-07-15T22:29:00Z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