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10A3" w14:textId="77777777" w:rsidR="00843FCD" w:rsidRDefault="00492628" w:rsidP="0049787E">
      <w:pPr>
        <w:spacing w:line="360" w:lineRule="auto"/>
        <w:jc w:val="center"/>
        <w:rPr>
          <w:rFonts w:ascii="Verdana" w:hAnsi="Verdana" w:cs="Arial"/>
          <w:b/>
        </w:rPr>
      </w:pPr>
      <w:r w:rsidRPr="00940C24">
        <w:rPr>
          <w:rFonts w:ascii="Verdana" w:hAnsi="Verdana" w:cs="Arial"/>
          <w:b/>
        </w:rPr>
        <w:t xml:space="preserve">GLOSA </w:t>
      </w:r>
      <w:r w:rsidR="001915BA">
        <w:rPr>
          <w:rFonts w:ascii="Verdana" w:hAnsi="Verdana" w:cs="Arial"/>
          <w:b/>
        </w:rPr>
        <w:t>13</w:t>
      </w:r>
      <w:r w:rsidR="009E4A95" w:rsidRPr="00940C24">
        <w:rPr>
          <w:rFonts w:ascii="Verdana" w:hAnsi="Verdana" w:cs="Arial"/>
          <w:b/>
        </w:rPr>
        <w:t xml:space="preserve"> </w:t>
      </w:r>
      <w:r w:rsidR="003D474F">
        <w:rPr>
          <w:rFonts w:ascii="Verdana" w:hAnsi="Verdana" w:cs="Arial"/>
          <w:b/>
        </w:rPr>
        <w:t>DOH</w:t>
      </w:r>
    </w:p>
    <w:p w14:paraId="6110236A" w14:textId="77777777" w:rsidR="00300EEF" w:rsidRPr="00940C24" w:rsidRDefault="001915BA" w:rsidP="0049787E">
      <w:pPr>
        <w:spacing w:line="360" w:lineRule="auto"/>
        <w:jc w:val="center"/>
        <w:rPr>
          <w:rFonts w:ascii="Verdana" w:hAnsi="Verdana" w:cs="Arial"/>
          <w:b/>
        </w:rPr>
      </w:pPr>
      <w:r>
        <w:rPr>
          <w:rFonts w:ascii="Verdana" w:hAnsi="Verdana" w:cs="Arial"/>
          <w:b/>
        </w:rPr>
        <w:t>AVANCE PLAN NACIONAL DE EMBALSES</w:t>
      </w:r>
    </w:p>
    <w:p w14:paraId="432B906B" w14:textId="77777777" w:rsidR="00843FCD" w:rsidRPr="00940C24" w:rsidRDefault="001915BA" w:rsidP="0030767B">
      <w:pPr>
        <w:spacing w:after="120" w:line="276" w:lineRule="auto"/>
        <w:jc w:val="both"/>
        <w:rPr>
          <w:rFonts w:ascii="Verdana" w:hAnsi="Verdana" w:cs="Arial"/>
          <w:b/>
        </w:rPr>
      </w:pPr>
      <w:r w:rsidRPr="001915BA">
        <w:rPr>
          <w:rFonts w:ascii="Verdana" w:hAnsi="Verdana" w:cs="Arial"/>
        </w:rPr>
        <w:t xml:space="preserve">El Ministerio de Obras Públicas deberá informar trimestralmente  a la Comisión de Recursos Hídricos, Desertificación  y Sequía del Senado sobre el </w:t>
      </w:r>
      <w:r w:rsidRPr="001915BA">
        <w:rPr>
          <w:rFonts w:ascii="Verdana" w:hAnsi="Verdana" w:cs="Arial"/>
          <w:b/>
        </w:rPr>
        <w:t>avance del Plan Nacional de Embalses, indicando los recursos que se han destinado para dicho plan</w:t>
      </w:r>
      <w:r w:rsidRPr="001915BA">
        <w:rPr>
          <w:rFonts w:ascii="Verdana" w:hAnsi="Verdana" w:cs="Arial"/>
        </w:rPr>
        <w:t xml:space="preserve">, donde se hará mención explícita al Embalse Catemu y los plazos que se consideran para la concreción de todos los embalses en el </w:t>
      </w:r>
      <w:r>
        <w:rPr>
          <w:rFonts w:ascii="Verdana" w:hAnsi="Verdana" w:cs="Arial"/>
        </w:rPr>
        <w:t>plan.</w:t>
      </w:r>
    </w:p>
    <w:p w14:paraId="163A5055" w14:textId="77777777" w:rsidR="00F760FB" w:rsidRPr="00F760FB" w:rsidRDefault="00F760FB" w:rsidP="0030767B">
      <w:pPr>
        <w:spacing w:after="120" w:line="276" w:lineRule="auto"/>
        <w:jc w:val="both"/>
        <w:rPr>
          <w:rFonts w:ascii="Verdana" w:hAnsi="Verdana" w:cs="Arial"/>
        </w:rPr>
      </w:pPr>
      <w:r>
        <w:rPr>
          <w:rFonts w:ascii="Verdana" w:hAnsi="Verdana" w:cs="Arial"/>
        </w:rPr>
        <w:t>A continuación se presenta Tabla con la información de los recursos invertidos a la fecha en MM$ y fecha estimada de término de obra para cada una de las 26 iniciativas de embalses consideradas en el Plan Nacional de Embalses.</w:t>
      </w:r>
    </w:p>
    <w:tbl>
      <w:tblPr>
        <w:tblW w:w="10227" w:type="dxa"/>
        <w:tblInd w:w="-497" w:type="dxa"/>
        <w:tblCellMar>
          <w:left w:w="70" w:type="dxa"/>
          <w:right w:w="70" w:type="dxa"/>
        </w:tblCellMar>
        <w:tblLook w:val="04A0" w:firstRow="1" w:lastRow="0" w:firstColumn="1" w:lastColumn="0" w:noHBand="0" w:noVBand="1"/>
      </w:tblPr>
      <w:tblGrid>
        <w:gridCol w:w="428"/>
        <w:gridCol w:w="2469"/>
        <w:gridCol w:w="2974"/>
        <w:gridCol w:w="1963"/>
        <w:gridCol w:w="2393"/>
      </w:tblGrid>
      <w:tr w:rsidR="00F760FB" w:rsidRPr="00F760FB" w14:paraId="66EE37C3" w14:textId="77777777" w:rsidTr="0030767B">
        <w:trPr>
          <w:trHeight w:val="645"/>
        </w:trPr>
        <w:tc>
          <w:tcPr>
            <w:tcW w:w="428" w:type="dxa"/>
            <w:vMerge w:val="restart"/>
            <w:tcBorders>
              <w:top w:val="single" w:sz="4" w:space="0" w:color="auto"/>
              <w:left w:val="single" w:sz="4" w:space="0" w:color="auto"/>
              <w:bottom w:val="single" w:sz="4" w:space="0" w:color="auto"/>
              <w:right w:val="single" w:sz="4" w:space="0" w:color="auto"/>
            </w:tcBorders>
            <w:shd w:val="clear" w:color="000000" w:fill="376091"/>
            <w:vAlign w:val="center"/>
            <w:hideMark/>
          </w:tcPr>
          <w:p w14:paraId="6D9F9466" w14:textId="77777777" w:rsidR="00F760FB" w:rsidRPr="00F760FB" w:rsidRDefault="00F760FB" w:rsidP="00F760FB">
            <w:pPr>
              <w:jc w:val="center"/>
              <w:rPr>
                <w:rFonts w:ascii="Verdana" w:hAnsi="Verdana"/>
                <w:b/>
                <w:bCs/>
                <w:color w:val="FFFFFF"/>
                <w:lang w:val="es-ES"/>
              </w:rPr>
            </w:pPr>
            <w:r w:rsidRPr="00F760FB">
              <w:rPr>
                <w:rFonts w:ascii="Verdana" w:hAnsi="Verdana"/>
                <w:b/>
                <w:bCs/>
                <w:color w:val="FFFFFF"/>
                <w:lang w:val="es-ES"/>
              </w:rPr>
              <w:t>N°</w:t>
            </w:r>
          </w:p>
        </w:tc>
        <w:tc>
          <w:tcPr>
            <w:tcW w:w="2469" w:type="dxa"/>
            <w:vMerge w:val="restart"/>
            <w:tcBorders>
              <w:top w:val="single" w:sz="4" w:space="0" w:color="auto"/>
              <w:left w:val="single" w:sz="4" w:space="0" w:color="auto"/>
              <w:bottom w:val="single" w:sz="4" w:space="0" w:color="auto"/>
              <w:right w:val="single" w:sz="4" w:space="0" w:color="auto"/>
            </w:tcBorders>
            <w:shd w:val="clear" w:color="000000" w:fill="376091"/>
            <w:vAlign w:val="center"/>
            <w:hideMark/>
          </w:tcPr>
          <w:p w14:paraId="1E0CEBFE" w14:textId="77777777" w:rsidR="00F760FB" w:rsidRPr="00F760FB" w:rsidRDefault="00F760FB" w:rsidP="00F760FB">
            <w:pPr>
              <w:jc w:val="center"/>
              <w:rPr>
                <w:rFonts w:ascii="Verdana" w:hAnsi="Verdana"/>
                <w:b/>
                <w:bCs/>
                <w:color w:val="FFFFFF"/>
                <w:lang w:val="es-ES"/>
              </w:rPr>
            </w:pPr>
            <w:r w:rsidRPr="00F760FB">
              <w:rPr>
                <w:rFonts w:ascii="Verdana" w:hAnsi="Verdana"/>
                <w:b/>
                <w:bCs/>
                <w:color w:val="FFFFFF"/>
                <w:lang w:val="es-ES"/>
              </w:rPr>
              <w:t>Embalse</w:t>
            </w:r>
          </w:p>
        </w:tc>
        <w:tc>
          <w:tcPr>
            <w:tcW w:w="2974" w:type="dxa"/>
            <w:vMerge w:val="restart"/>
            <w:tcBorders>
              <w:top w:val="single" w:sz="4" w:space="0" w:color="auto"/>
              <w:left w:val="single" w:sz="4" w:space="0" w:color="auto"/>
              <w:bottom w:val="single" w:sz="4" w:space="0" w:color="auto"/>
              <w:right w:val="single" w:sz="4" w:space="0" w:color="auto"/>
            </w:tcBorders>
            <w:shd w:val="clear" w:color="000000" w:fill="376091"/>
            <w:vAlign w:val="center"/>
            <w:hideMark/>
          </w:tcPr>
          <w:p w14:paraId="70C62824" w14:textId="77777777" w:rsidR="00F760FB" w:rsidRPr="00F760FB" w:rsidRDefault="00F760FB" w:rsidP="00F760FB">
            <w:pPr>
              <w:jc w:val="center"/>
              <w:rPr>
                <w:rFonts w:ascii="Verdana" w:hAnsi="Verdana"/>
                <w:b/>
                <w:bCs/>
                <w:color w:val="FFFFFF"/>
                <w:lang w:val="es-ES"/>
              </w:rPr>
            </w:pPr>
            <w:r w:rsidRPr="00F760FB">
              <w:rPr>
                <w:rFonts w:ascii="Verdana" w:hAnsi="Verdana"/>
                <w:b/>
                <w:bCs/>
                <w:color w:val="FFFFFF"/>
                <w:lang w:val="es-ES"/>
              </w:rPr>
              <w:t>Región/</w:t>
            </w:r>
            <w:r w:rsidRPr="00F760FB">
              <w:rPr>
                <w:rFonts w:ascii="Verdana" w:hAnsi="Verdana"/>
                <w:b/>
                <w:bCs/>
                <w:color w:val="FFFFFF"/>
                <w:lang w:val="es-ES"/>
              </w:rPr>
              <w:br/>
              <w:t>Cuenca</w:t>
            </w:r>
          </w:p>
        </w:tc>
        <w:tc>
          <w:tcPr>
            <w:tcW w:w="1963" w:type="dxa"/>
            <w:vMerge w:val="restart"/>
            <w:tcBorders>
              <w:top w:val="single" w:sz="4" w:space="0" w:color="auto"/>
              <w:left w:val="single" w:sz="4" w:space="0" w:color="auto"/>
              <w:bottom w:val="single" w:sz="4" w:space="0" w:color="auto"/>
              <w:right w:val="single" w:sz="4" w:space="0" w:color="auto"/>
            </w:tcBorders>
            <w:shd w:val="clear" w:color="000000" w:fill="376091"/>
            <w:vAlign w:val="center"/>
            <w:hideMark/>
          </w:tcPr>
          <w:p w14:paraId="7CFEE81B" w14:textId="642A0E68" w:rsidR="00F760FB" w:rsidRPr="00F760FB" w:rsidRDefault="00F760FB" w:rsidP="00560106">
            <w:pPr>
              <w:jc w:val="center"/>
              <w:rPr>
                <w:rFonts w:ascii="Verdana" w:hAnsi="Verdana"/>
                <w:b/>
                <w:bCs/>
                <w:color w:val="FFFFFF"/>
                <w:lang w:val="es-ES"/>
              </w:rPr>
            </w:pPr>
            <w:r w:rsidRPr="00F760FB">
              <w:rPr>
                <w:rFonts w:ascii="Verdana" w:hAnsi="Verdana"/>
                <w:b/>
                <w:bCs/>
                <w:color w:val="FFFFFF"/>
                <w:lang w:val="es-ES"/>
              </w:rPr>
              <w:t>Recursos</w:t>
            </w:r>
            <w:r w:rsidR="00560106">
              <w:rPr>
                <w:rFonts w:ascii="Verdana" w:hAnsi="Verdana"/>
                <w:b/>
                <w:bCs/>
                <w:color w:val="FFFFFF"/>
                <w:lang w:val="es-ES"/>
              </w:rPr>
              <w:t xml:space="preserve"> 2021</w:t>
            </w:r>
            <w:r w:rsidRPr="00F760FB">
              <w:rPr>
                <w:rFonts w:ascii="Verdana" w:hAnsi="Verdana"/>
                <w:b/>
                <w:bCs/>
                <w:color w:val="FFFFFF"/>
                <w:lang w:val="es-ES"/>
              </w:rPr>
              <w:t xml:space="preserve"> invertidos</w:t>
            </w:r>
            <w:r w:rsidR="00E72850">
              <w:rPr>
                <w:rFonts w:ascii="Verdana" w:hAnsi="Verdana"/>
                <w:b/>
                <w:bCs/>
                <w:color w:val="FFFFFF"/>
                <w:lang w:val="es-ES"/>
              </w:rPr>
              <w:t xml:space="preserve"> </w:t>
            </w:r>
            <w:r w:rsidR="00560106">
              <w:rPr>
                <w:rFonts w:ascii="Verdana" w:hAnsi="Verdana"/>
                <w:b/>
                <w:bCs/>
                <w:color w:val="FFFFFF"/>
                <w:lang w:val="es-ES"/>
              </w:rPr>
              <w:t>a la fecha</w:t>
            </w:r>
            <w:r w:rsidRPr="00F760FB">
              <w:rPr>
                <w:rFonts w:ascii="Verdana" w:hAnsi="Verdana"/>
                <w:b/>
                <w:bCs/>
                <w:color w:val="FFFFFF"/>
                <w:lang w:val="es-ES"/>
              </w:rPr>
              <w:t xml:space="preserve"> (MM$)</w:t>
            </w:r>
          </w:p>
        </w:tc>
        <w:tc>
          <w:tcPr>
            <w:tcW w:w="2393" w:type="dxa"/>
            <w:vMerge w:val="restart"/>
            <w:tcBorders>
              <w:top w:val="single" w:sz="4" w:space="0" w:color="auto"/>
              <w:left w:val="single" w:sz="4" w:space="0" w:color="auto"/>
              <w:bottom w:val="single" w:sz="4" w:space="0" w:color="FFFFFF"/>
              <w:right w:val="single" w:sz="4" w:space="0" w:color="FFFFFF"/>
            </w:tcBorders>
            <w:shd w:val="clear" w:color="000000" w:fill="376091"/>
            <w:vAlign w:val="center"/>
            <w:hideMark/>
          </w:tcPr>
          <w:p w14:paraId="5A1B5DE6" w14:textId="77777777" w:rsidR="00F760FB" w:rsidRPr="00F760FB" w:rsidRDefault="00F760FB" w:rsidP="00F760FB">
            <w:pPr>
              <w:jc w:val="center"/>
              <w:rPr>
                <w:rFonts w:ascii="Verdana" w:hAnsi="Verdana"/>
                <w:b/>
                <w:bCs/>
                <w:color w:val="FFFFFF"/>
                <w:lang w:val="es-ES"/>
              </w:rPr>
            </w:pPr>
            <w:r w:rsidRPr="00F760FB">
              <w:rPr>
                <w:rFonts w:ascii="Verdana" w:hAnsi="Verdana"/>
                <w:b/>
                <w:bCs/>
                <w:color w:val="FFFFFF"/>
                <w:lang w:val="es-ES"/>
              </w:rPr>
              <w:t>Fecha estimada de Término</w:t>
            </w:r>
          </w:p>
        </w:tc>
      </w:tr>
      <w:tr w:rsidR="00F760FB" w:rsidRPr="00F760FB" w14:paraId="58C4E8A8" w14:textId="77777777" w:rsidTr="0030767B">
        <w:trPr>
          <w:trHeight w:val="243"/>
        </w:trPr>
        <w:tc>
          <w:tcPr>
            <w:tcW w:w="428" w:type="dxa"/>
            <w:vMerge/>
            <w:tcBorders>
              <w:top w:val="single" w:sz="4" w:space="0" w:color="auto"/>
              <w:left w:val="single" w:sz="4" w:space="0" w:color="auto"/>
              <w:bottom w:val="single" w:sz="4" w:space="0" w:color="auto"/>
              <w:right w:val="single" w:sz="4" w:space="0" w:color="auto"/>
            </w:tcBorders>
            <w:vAlign w:val="center"/>
            <w:hideMark/>
          </w:tcPr>
          <w:p w14:paraId="5BDE33AB" w14:textId="77777777" w:rsidR="00F760FB" w:rsidRPr="00F760FB" w:rsidRDefault="00F760FB" w:rsidP="00F760FB">
            <w:pPr>
              <w:rPr>
                <w:rFonts w:ascii="Verdana" w:hAnsi="Verdana"/>
                <w:b/>
                <w:bCs/>
                <w:color w:val="FFFFFF"/>
                <w:lang w:val="es-ES"/>
              </w:rPr>
            </w:pPr>
          </w:p>
        </w:tc>
        <w:tc>
          <w:tcPr>
            <w:tcW w:w="2469" w:type="dxa"/>
            <w:vMerge/>
            <w:tcBorders>
              <w:top w:val="single" w:sz="4" w:space="0" w:color="auto"/>
              <w:left w:val="single" w:sz="4" w:space="0" w:color="auto"/>
              <w:bottom w:val="single" w:sz="4" w:space="0" w:color="auto"/>
              <w:right w:val="single" w:sz="4" w:space="0" w:color="auto"/>
            </w:tcBorders>
            <w:vAlign w:val="center"/>
            <w:hideMark/>
          </w:tcPr>
          <w:p w14:paraId="7670FC50" w14:textId="77777777" w:rsidR="00F760FB" w:rsidRPr="00F760FB" w:rsidRDefault="00F760FB" w:rsidP="00F760FB">
            <w:pPr>
              <w:rPr>
                <w:rFonts w:ascii="Verdana" w:hAnsi="Verdana"/>
                <w:b/>
                <w:bCs/>
                <w:color w:val="FFFFFF"/>
                <w:lang w:val="es-E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14:paraId="678C770E" w14:textId="77777777" w:rsidR="00F760FB" w:rsidRPr="00F760FB" w:rsidRDefault="00F760FB" w:rsidP="00F760FB">
            <w:pPr>
              <w:rPr>
                <w:rFonts w:ascii="Verdana" w:hAnsi="Verdana"/>
                <w:b/>
                <w:bCs/>
                <w:color w:val="FFFFFF"/>
                <w:lang w:val="es-ES"/>
              </w:rPr>
            </w:pPr>
          </w:p>
        </w:tc>
        <w:tc>
          <w:tcPr>
            <w:tcW w:w="1963" w:type="dxa"/>
            <w:vMerge/>
            <w:tcBorders>
              <w:top w:val="single" w:sz="4" w:space="0" w:color="auto"/>
              <w:left w:val="single" w:sz="4" w:space="0" w:color="auto"/>
              <w:bottom w:val="single" w:sz="4" w:space="0" w:color="auto"/>
              <w:right w:val="single" w:sz="4" w:space="0" w:color="auto"/>
            </w:tcBorders>
            <w:vAlign w:val="center"/>
            <w:hideMark/>
          </w:tcPr>
          <w:p w14:paraId="12C046CE" w14:textId="77777777" w:rsidR="00F760FB" w:rsidRPr="00F760FB" w:rsidRDefault="00F760FB" w:rsidP="000E015F">
            <w:pPr>
              <w:jc w:val="center"/>
              <w:rPr>
                <w:rFonts w:ascii="Verdana" w:hAnsi="Verdana"/>
                <w:b/>
                <w:bCs/>
                <w:color w:val="FFFFFF"/>
                <w:lang w:val="es-ES"/>
              </w:rPr>
            </w:pPr>
          </w:p>
        </w:tc>
        <w:tc>
          <w:tcPr>
            <w:tcW w:w="2393" w:type="dxa"/>
            <w:vMerge/>
            <w:tcBorders>
              <w:top w:val="single" w:sz="4" w:space="0" w:color="auto"/>
              <w:left w:val="single" w:sz="4" w:space="0" w:color="auto"/>
              <w:bottom w:val="single" w:sz="4" w:space="0" w:color="FFFFFF"/>
              <w:right w:val="single" w:sz="4" w:space="0" w:color="FFFFFF"/>
            </w:tcBorders>
            <w:vAlign w:val="center"/>
            <w:hideMark/>
          </w:tcPr>
          <w:p w14:paraId="756903D5" w14:textId="77777777" w:rsidR="00F760FB" w:rsidRPr="00F760FB" w:rsidRDefault="00F760FB" w:rsidP="00F760FB">
            <w:pPr>
              <w:rPr>
                <w:rFonts w:ascii="Verdana" w:hAnsi="Verdana"/>
                <w:b/>
                <w:bCs/>
                <w:color w:val="FFFFFF"/>
                <w:lang w:val="es-ES"/>
              </w:rPr>
            </w:pPr>
          </w:p>
        </w:tc>
      </w:tr>
      <w:tr w:rsidR="003434F4" w:rsidRPr="00F760FB" w14:paraId="6AECE643" w14:textId="77777777" w:rsidTr="0030767B">
        <w:trPr>
          <w:trHeight w:val="340"/>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E4CA0"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1</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14:paraId="466E5690" w14:textId="77777777" w:rsidR="003434F4" w:rsidRPr="00595D2A" w:rsidRDefault="003434F4" w:rsidP="00F23FEA">
            <w:pPr>
              <w:spacing w:before="40" w:after="40"/>
              <w:rPr>
                <w:rFonts w:ascii="Verdana" w:hAnsi="Verdana"/>
                <w:b/>
                <w:bCs/>
                <w:color w:val="000000"/>
                <w:lang w:val="es-ES"/>
              </w:rPr>
            </w:pPr>
            <w:r w:rsidRPr="00595D2A">
              <w:rPr>
                <w:rFonts w:ascii="Verdana" w:hAnsi="Verdana"/>
                <w:b/>
                <w:bCs/>
                <w:color w:val="000000"/>
                <w:lang w:val="es-ES"/>
              </w:rPr>
              <w:t>Valle Hermoso</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11FBB43F"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 xml:space="preserve">Coquimbo / Rio Pama </w:t>
            </w:r>
          </w:p>
        </w:tc>
        <w:tc>
          <w:tcPr>
            <w:tcW w:w="1963" w:type="dxa"/>
            <w:tcBorders>
              <w:top w:val="single" w:sz="4" w:space="0" w:color="auto"/>
              <w:left w:val="nil"/>
              <w:bottom w:val="single" w:sz="4" w:space="0" w:color="auto"/>
              <w:right w:val="single" w:sz="4" w:space="0" w:color="auto"/>
            </w:tcBorders>
            <w:shd w:val="clear" w:color="auto" w:fill="auto"/>
            <w:vAlign w:val="center"/>
          </w:tcPr>
          <w:p w14:paraId="003E97E0" w14:textId="47EA3C01" w:rsidR="003434F4" w:rsidRPr="00560106" w:rsidRDefault="00274159" w:rsidP="00F23FEA">
            <w:pPr>
              <w:spacing w:before="40" w:after="40"/>
              <w:jc w:val="center"/>
              <w:rPr>
                <w:rFonts w:ascii="Verdana" w:hAnsi="Verdana"/>
                <w:color w:val="000000"/>
                <w:lang w:val="es-ES"/>
              </w:rPr>
            </w:pPr>
            <w:r>
              <w:rPr>
                <w:rFonts w:ascii="Verdana" w:hAnsi="Verdana"/>
                <w:color w:val="000000"/>
                <w:lang w:val="es-ES"/>
              </w:rPr>
              <w:t>196</w:t>
            </w:r>
          </w:p>
        </w:tc>
        <w:tc>
          <w:tcPr>
            <w:tcW w:w="2393" w:type="dxa"/>
            <w:tcBorders>
              <w:top w:val="single" w:sz="4" w:space="0" w:color="auto"/>
              <w:left w:val="nil"/>
              <w:bottom w:val="single" w:sz="4" w:space="0" w:color="auto"/>
              <w:right w:val="single" w:sz="4" w:space="0" w:color="auto"/>
            </w:tcBorders>
            <w:shd w:val="clear" w:color="auto" w:fill="auto"/>
            <w:vAlign w:val="center"/>
            <w:hideMark/>
          </w:tcPr>
          <w:p w14:paraId="7C552EAF"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Terminado 2020</w:t>
            </w:r>
          </w:p>
        </w:tc>
      </w:tr>
      <w:tr w:rsidR="003434F4" w:rsidRPr="00F760FB" w14:paraId="0A32D479"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1D4A75C7"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2</w:t>
            </w:r>
          </w:p>
        </w:tc>
        <w:tc>
          <w:tcPr>
            <w:tcW w:w="2469" w:type="dxa"/>
            <w:tcBorders>
              <w:top w:val="nil"/>
              <w:left w:val="nil"/>
              <w:bottom w:val="single" w:sz="4" w:space="0" w:color="auto"/>
              <w:right w:val="single" w:sz="4" w:space="0" w:color="auto"/>
            </w:tcBorders>
            <w:shd w:val="clear" w:color="auto" w:fill="auto"/>
            <w:vAlign w:val="center"/>
            <w:hideMark/>
          </w:tcPr>
          <w:p w14:paraId="4C951A40"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La Punilla</w:t>
            </w:r>
          </w:p>
        </w:tc>
        <w:tc>
          <w:tcPr>
            <w:tcW w:w="2974" w:type="dxa"/>
            <w:tcBorders>
              <w:top w:val="nil"/>
              <w:left w:val="nil"/>
              <w:bottom w:val="single" w:sz="4" w:space="0" w:color="auto"/>
              <w:right w:val="single" w:sz="4" w:space="0" w:color="auto"/>
            </w:tcBorders>
            <w:shd w:val="clear" w:color="auto" w:fill="auto"/>
            <w:vAlign w:val="center"/>
            <w:hideMark/>
          </w:tcPr>
          <w:p w14:paraId="0F1CE39E"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 xml:space="preserve">Bio </w:t>
            </w:r>
            <w:proofErr w:type="spellStart"/>
            <w:r w:rsidRPr="00F760FB">
              <w:rPr>
                <w:rFonts w:ascii="Verdana" w:hAnsi="Verdana"/>
                <w:color w:val="000000"/>
                <w:lang w:val="es-ES"/>
              </w:rPr>
              <w:t>Bio</w:t>
            </w:r>
            <w:proofErr w:type="spellEnd"/>
            <w:r w:rsidRPr="00F760FB">
              <w:rPr>
                <w:rFonts w:ascii="Verdana" w:hAnsi="Verdana"/>
                <w:color w:val="000000"/>
                <w:lang w:val="es-ES"/>
              </w:rPr>
              <w:t xml:space="preserve"> / Ñuble</w:t>
            </w:r>
          </w:p>
        </w:tc>
        <w:tc>
          <w:tcPr>
            <w:tcW w:w="1963" w:type="dxa"/>
            <w:tcBorders>
              <w:top w:val="nil"/>
              <w:left w:val="nil"/>
              <w:bottom w:val="single" w:sz="4" w:space="0" w:color="auto"/>
              <w:right w:val="single" w:sz="4" w:space="0" w:color="auto"/>
            </w:tcBorders>
            <w:shd w:val="clear" w:color="auto" w:fill="auto"/>
            <w:vAlign w:val="center"/>
          </w:tcPr>
          <w:p w14:paraId="6254DA1F" w14:textId="1E0D05BF" w:rsidR="003434F4" w:rsidRPr="00560106" w:rsidRDefault="00274159"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6C40BA2A" w14:textId="7DED456E" w:rsidR="003434F4" w:rsidRPr="004D54FD" w:rsidRDefault="004D54FD" w:rsidP="00F23FEA">
            <w:pPr>
              <w:spacing w:before="40" w:after="40"/>
              <w:jc w:val="center"/>
              <w:rPr>
                <w:rFonts w:ascii="Verdana" w:hAnsi="Verdana"/>
                <w:lang w:val="es-ES"/>
              </w:rPr>
            </w:pPr>
            <w:r w:rsidRPr="004D54FD">
              <w:rPr>
                <w:rFonts w:ascii="Verdana" w:hAnsi="Verdana"/>
                <w:lang w:val="es-ES"/>
              </w:rPr>
              <w:t>Se adjunta informe</w:t>
            </w:r>
          </w:p>
        </w:tc>
      </w:tr>
      <w:tr w:rsidR="003434F4" w:rsidRPr="00F760FB" w14:paraId="2BB4B924"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5B0DD922"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3</w:t>
            </w:r>
          </w:p>
        </w:tc>
        <w:tc>
          <w:tcPr>
            <w:tcW w:w="2469" w:type="dxa"/>
            <w:tcBorders>
              <w:top w:val="nil"/>
              <w:left w:val="nil"/>
              <w:bottom w:val="single" w:sz="4" w:space="0" w:color="auto"/>
              <w:right w:val="single" w:sz="4" w:space="0" w:color="auto"/>
            </w:tcBorders>
            <w:shd w:val="clear" w:color="auto" w:fill="auto"/>
            <w:vAlign w:val="center"/>
            <w:hideMark/>
          </w:tcPr>
          <w:p w14:paraId="3D4FC984"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Chironta</w:t>
            </w:r>
          </w:p>
        </w:tc>
        <w:tc>
          <w:tcPr>
            <w:tcW w:w="2974" w:type="dxa"/>
            <w:tcBorders>
              <w:top w:val="nil"/>
              <w:left w:val="nil"/>
              <w:bottom w:val="single" w:sz="4" w:space="0" w:color="auto"/>
              <w:right w:val="single" w:sz="4" w:space="0" w:color="auto"/>
            </w:tcBorders>
            <w:shd w:val="clear" w:color="auto" w:fill="auto"/>
            <w:vAlign w:val="center"/>
            <w:hideMark/>
          </w:tcPr>
          <w:p w14:paraId="38F29077"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 xml:space="preserve">Arica y Parinacota/ Lluta </w:t>
            </w:r>
          </w:p>
        </w:tc>
        <w:tc>
          <w:tcPr>
            <w:tcW w:w="1963" w:type="dxa"/>
            <w:tcBorders>
              <w:top w:val="nil"/>
              <w:left w:val="nil"/>
              <w:bottom w:val="single" w:sz="4" w:space="0" w:color="auto"/>
              <w:right w:val="single" w:sz="4" w:space="0" w:color="auto"/>
            </w:tcBorders>
            <w:shd w:val="clear" w:color="auto" w:fill="auto"/>
            <w:vAlign w:val="center"/>
          </w:tcPr>
          <w:p w14:paraId="4C9CF1F5" w14:textId="000CBFD8" w:rsidR="003434F4" w:rsidRPr="00560106" w:rsidRDefault="00274159" w:rsidP="00F23FEA">
            <w:pPr>
              <w:spacing w:before="40" w:after="40"/>
              <w:jc w:val="center"/>
              <w:rPr>
                <w:rFonts w:ascii="Verdana" w:hAnsi="Verdana"/>
                <w:color w:val="000000"/>
                <w:lang w:val="es-ES"/>
              </w:rPr>
            </w:pPr>
            <w:r>
              <w:rPr>
                <w:rFonts w:ascii="Verdana" w:hAnsi="Verdana"/>
                <w:color w:val="000000"/>
                <w:lang w:val="es-ES"/>
              </w:rPr>
              <w:t>15.933</w:t>
            </w:r>
          </w:p>
        </w:tc>
        <w:tc>
          <w:tcPr>
            <w:tcW w:w="2393" w:type="dxa"/>
            <w:tcBorders>
              <w:top w:val="nil"/>
              <w:left w:val="nil"/>
              <w:bottom w:val="single" w:sz="4" w:space="0" w:color="auto"/>
              <w:right w:val="single" w:sz="4" w:space="0" w:color="auto"/>
            </w:tcBorders>
            <w:shd w:val="clear" w:color="auto" w:fill="auto"/>
            <w:vAlign w:val="center"/>
            <w:hideMark/>
          </w:tcPr>
          <w:p w14:paraId="3BFB1DD8" w14:textId="197CC362" w:rsidR="003434F4" w:rsidRPr="004D54FD" w:rsidRDefault="001E55FE" w:rsidP="001E55FE">
            <w:pPr>
              <w:spacing w:before="40" w:after="40"/>
              <w:jc w:val="center"/>
              <w:rPr>
                <w:rFonts w:ascii="Verdana" w:hAnsi="Verdana"/>
                <w:lang w:val="es-ES"/>
              </w:rPr>
            </w:pPr>
            <w:r w:rsidRPr="004D54FD">
              <w:rPr>
                <w:rFonts w:ascii="Verdana" w:hAnsi="Verdana"/>
                <w:lang w:val="es-ES"/>
              </w:rPr>
              <w:t>Diciembre</w:t>
            </w:r>
            <w:r w:rsidR="003434F4" w:rsidRPr="004D54FD">
              <w:rPr>
                <w:rFonts w:ascii="Verdana" w:hAnsi="Verdana"/>
                <w:lang w:val="es-ES"/>
              </w:rPr>
              <w:t xml:space="preserve"> 202</w:t>
            </w:r>
            <w:r w:rsidRPr="004D54FD">
              <w:rPr>
                <w:rFonts w:ascii="Verdana" w:hAnsi="Verdana"/>
                <w:lang w:val="es-ES"/>
              </w:rPr>
              <w:t>1</w:t>
            </w:r>
          </w:p>
        </w:tc>
      </w:tr>
      <w:tr w:rsidR="003434F4" w:rsidRPr="00F760FB" w14:paraId="47BF4833"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4F2F7378"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4</w:t>
            </w:r>
          </w:p>
        </w:tc>
        <w:tc>
          <w:tcPr>
            <w:tcW w:w="2469" w:type="dxa"/>
            <w:tcBorders>
              <w:top w:val="nil"/>
              <w:left w:val="nil"/>
              <w:bottom w:val="single" w:sz="4" w:space="0" w:color="auto"/>
              <w:right w:val="single" w:sz="4" w:space="0" w:color="auto"/>
            </w:tcBorders>
            <w:shd w:val="clear" w:color="auto" w:fill="auto"/>
            <w:vAlign w:val="center"/>
            <w:hideMark/>
          </w:tcPr>
          <w:p w14:paraId="6A6D90D1"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Las Palmas</w:t>
            </w:r>
          </w:p>
        </w:tc>
        <w:tc>
          <w:tcPr>
            <w:tcW w:w="2974" w:type="dxa"/>
            <w:tcBorders>
              <w:top w:val="nil"/>
              <w:left w:val="nil"/>
              <w:bottom w:val="single" w:sz="4" w:space="0" w:color="auto"/>
              <w:right w:val="single" w:sz="4" w:space="0" w:color="auto"/>
            </w:tcBorders>
            <w:shd w:val="clear" w:color="auto" w:fill="auto"/>
            <w:vAlign w:val="center"/>
            <w:hideMark/>
          </w:tcPr>
          <w:p w14:paraId="0859940C"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Valparaíso / Petorca</w:t>
            </w:r>
          </w:p>
        </w:tc>
        <w:tc>
          <w:tcPr>
            <w:tcW w:w="1963" w:type="dxa"/>
            <w:tcBorders>
              <w:top w:val="nil"/>
              <w:left w:val="nil"/>
              <w:bottom w:val="single" w:sz="4" w:space="0" w:color="auto"/>
              <w:right w:val="single" w:sz="4" w:space="0" w:color="auto"/>
            </w:tcBorders>
            <w:shd w:val="clear" w:color="auto" w:fill="auto"/>
            <w:vAlign w:val="center"/>
          </w:tcPr>
          <w:p w14:paraId="6F9135F9" w14:textId="04286DE8" w:rsidR="003434F4" w:rsidRPr="00560106" w:rsidRDefault="00274159"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30D07257" w14:textId="42A324EE" w:rsidR="003434F4" w:rsidRPr="004D54FD" w:rsidRDefault="004D54FD" w:rsidP="00F23FEA">
            <w:pPr>
              <w:spacing w:before="40" w:after="40"/>
              <w:jc w:val="center"/>
              <w:rPr>
                <w:rFonts w:ascii="Verdana" w:hAnsi="Verdana"/>
                <w:lang w:val="es-ES"/>
              </w:rPr>
            </w:pPr>
            <w:r w:rsidRPr="004D54FD">
              <w:rPr>
                <w:rFonts w:ascii="Verdana" w:hAnsi="Verdana"/>
                <w:lang w:val="es-ES"/>
              </w:rPr>
              <w:t>Se adjunta informe</w:t>
            </w:r>
          </w:p>
        </w:tc>
      </w:tr>
      <w:tr w:rsidR="003434F4" w:rsidRPr="00F760FB" w14:paraId="08FE8D84"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1041A924"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5</w:t>
            </w:r>
          </w:p>
        </w:tc>
        <w:tc>
          <w:tcPr>
            <w:tcW w:w="2469" w:type="dxa"/>
            <w:tcBorders>
              <w:top w:val="nil"/>
              <w:left w:val="nil"/>
              <w:bottom w:val="single" w:sz="4" w:space="0" w:color="auto"/>
              <w:right w:val="single" w:sz="4" w:space="0" w:color="auto"/>
            </w:tcBorders>
            <w:shd w:val="clear" w:color="auto" w:fill="auto"/>
            <w:vAlign w:val="center"/>
            <w:hideMark/>
          </w:tcPr>
          <w:p w14:paraId="42029109"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Zapallar</w:t>
            </w:r>
          </w:p>
        </w:tc>
        <w:tc>
          <w:tcPr>
            <w:tcW w:w="2974" w:type="dxa"/>
            <w:tcBorders>
              <w:top w:val="nil"/>
              <w:left w:val="nil"/>
              <w:bottom w:val="single" w:sz="4" w:space="0" w:color="auto"/>
              <w:right w:val="single" w:sz="4" w:space="0" w:color="auto"/>
            </w:tcBorders>
            <w:shd w:val="clear" w:color="auto" w:fill="auto"/>
            <w:vAlign w:val="center"/>
            <w:hideMark/>
          </w:tcPr>
          <w:p w14:paraId="7782E0A1" w14:textId="40ECC666" w:rsidR="003434F4" w:rsidRPr="00F760FB" w:rsidRDefault="003434F4" w:rsidP="00F23FEA">
            <w:pPr>
              <w:spacing w:before="40" w:after="40"/>
              <w:rPr>
                <w:rFonts w:ascii="Verdana" w:hAnsi="Verdana"/>
                <w:lang w:val="es-ES"/>
              </w:rPr>
            </w:pPr>
            <w:r w:rsidRPr="00F760FB">
              <w:rPr>
                <w:rFonts w:ascii="Verdana" w:hAnsi="Verdana"/>
                <w:lang w:val="es-ES"/>
              </w:rPr>
              <w:t xml:space="preserve">Bio </w:t>
            </w:r>
            <w:proofErr w:type="spellStart"/>
            <w:r w:rsidRPr="00F760FB">
              <w:rPr>
                <w:rFonts w:ascii="Verdana" w:hAnsi="Verdana"/>
                <w:lang w:val="es-ES"/>
              </w:rPr>
              <w:t>Bio</w:t>
            </w:r>
            <w:proofErr w:type="spellEnd"/>
            <w:r w:rsidRPr="00F760FB">
              <w:rPr>
                <w:rFonts w:ascii="Verdana" w:hAnsi="Verdana"/>
                <w:lang w:val="es-ES"/>
              </w:rPr>
              <w:t xml:space="preserve"> / Itata</w:t>
            </w:r>
          </w:p>
        </w:tc>
        <w:tc>
          <w:tcPr>
            <w:tcW w:w="1963" w:type="dxa"/>
            <w:tcBorders>
              <w:top w:val="nil"/>
              <w:left w:val="nil"/>
              <w:bottom w:val="single" w:sz="4" w:space="0" w:color="auto"/>
              <w:right w:val="single" w:sz="4" w:space="0" w:color="auto"/>
            </w:tcBorders>
            <w:shd w:val="clear" w:color="auto" w:fill="auto"/>
            <w:vAlign w:val="center"/>
          </w:tcPr>
          <w:p w14:paraId="72F082F0" w14:textId="42867F07" w:rsidR="003434F4" w:rsidRPr="00560106" w:rsidRDefault="00E9794D" w:rsidP="00F23FEA">
            <w:pPr>
              <w:spacing w:before="40" w:after="40"/>
              <w:jc w:val="center"/>
              <w:rPr>
                <w:rFonts w:ascii="Verdana" w:hAnsi="Verdana"/>
                <w:color w:val="000000"/>
                <w:lang w:val="es-ES"/>
              </w:rPr>
            </w:pPr>
            <w:r>
              <w:rPr>
                <w:rFonts w:ascii="Verdana" w:hAnsi="Verdana"/>
                <w:color w:val="000000"/>
                <w:lang w:val="es-ES"/>
              </w:rPr>
              <w:t>89</w:t>
            </w:r>
          </w:p>
        </w:tc>
        <w:tc>
          <w:tcPr>
            <w:tcW w:w="2393" w:type="dxa"/>
            <w:tcBorders>
              <w:top w:val="nil"/>
              <w:left w:val="nil"/>
              <w:bottom w:val="single" w:sz="4" w:space="0" w:color="auto"/>
              <w:right w:val="single" w:sz="4" w:space="0" w:color="auto"/>
            </w:tcBorders>
            <w:shd w:val="clear" w:color="auto" w:fill="auto"/>
            <w:vAlign w:val="center"/>
            <w:hideMark/>
          </w:tcPr>
          <w:p w14:paraId="0FDC142C" w14:textId="77777777" w:rsidR="003434F4" w:rsidRPr="004D54FD" w:rsidRDefault="003434F4" w:rsidP="00F23FEA">
            <w:pPr>
              <w:spacing w:before="40" w:after="40"/>
              <w:jc w:val="center"/>
              <w:rPr>
                <w:rFonts w:ascii="Verdana" w:hAnsi="Verdana"/>
                <w:lang w:val="es-ES"/>
              </w:rPr>
            </w:pPr>
            <w:r w:rsidRPr="004D54FD">
              <w:rPr>
                <w:rFonts w:ascii="Verdana" w:hAnsi="Verdana"/>
                <w:lang w:val="es-ES"/>
              </w:rPr>
              <w:t>2029</w:t>
            </w:r>
            <w:r w:rsidRPr="004D54FD">
              <w:rPr>
                <w:rFonts w:ascii="Verdana" w:hAnsi="Verdana"/>
                <w:lang w:val="es-ES"/>
              </w:rPr>
              <w:br/>
              <w:t>(Adjudicación Concesión 2023)</w:t>
            </w:r>
          </w:p>
        </w:tc>
      </w:tr>
      <w:tr w:rsidR="003434F4" w:rsidRPr="00F760FB" w14:paraId="4DFE3AAF"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2887B6E7"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6</w:t>
            </w:r>
          </w:p>
        </w:tc>
        <w:tc>
          <w:tcPr>
            <w:tcW w:w="2469" w:type="dxa"/>
            <w:tcBorders>
              <w:top w:val="nil"/>
              <w:left w:val="nil"/>
              <w:bottom w:val="single" w:sz="4" w:space="0" w:color="auto"/>
              <w:right w:val="single" w:sz="4" w:space="0" w:color="auto"/>
            </w:tcBorders>
            <w:shd w:val="clear" w:color="auto" w:fill="auto"/>
            <w:vAlign w:val="center"/>
            <w:hideMark/>
          </w:tcPr>
          <w:p w14:paraId="79808D5D"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 xml:space="preserve">La Jaula </w:t>
            </w:r>
          </w:p>
        </w:tc>
        <w:tc>
          <w:tcPr>
            <w:tcW w:w="2974" w:type="dxa"/>
            <w:tcBorders>
              <w:top w:val="nil"/>
              <w:left w:val="nil"/>
              <w:bottom w:val="single" w:sz="4" w:space="0" w:color="auto"/>
              <w:right w:val="single" w:sz="4" w:space="0" w:color="auto"/>
            </w:tcBorders>
            <w:shd w:val="clear" w:color="auto" w:fill="auto"/>
            <w:vAlign w:val="center"/>
            <w:hideMark/>
          </w:tcPr>
          <w:p w14:paraId="53BC13A2"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 xml:space="preserve">Maule / Teno </w:t>
            </w:r>
          </w:p>
        </w:tc>
        <w:tc>
          <w:tcPr>
            <w:tcW w:w="1963" w:type="dxa"/>
            <w:tcBorders>
              <w:top w:val="nil"/>
              <w:left w:val="nil"/>
              <w:bottom w:val="single" w:sz="4" w:space="0" w:color="auto"/>
              <w:right w:val="single" w:sz="4" w:space="0" w:color="auto"/>
            </w:tcBorders>
            <w:shd w:val="clear" w:color="auto" w:fill="auto"/>
            <w:vAlign w:val="center"/>
          </w:tcPr>
          <w:p w14:paraId="714A0896" w14:textId="74A234D0" w:rsidR="003434F4" w:rsidRPr="00560106" w:rsidRDefault="00274159"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4038616C" w14:textId="0B6AD778"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w:t>
            </w:r>
            <w:r>
              <w:rPr>
                <w:rFonts w:ascii="Verdana" w:hAnsi="Verdana"/>
                <w:color w:val="000000"/>
                <w:lang w:val="es-ES"/>
              </w:rPr>
              <w:t>30</w:t>
            </w:r>
          </w:p>
        </w:tc>
      </w:tr>
      <w:tr w:rsidR="003434F4" w:rsidRPr="00F760FB" w14:paraId="5A24389F"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2D1E2C3C"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7</w:t>
            </w:r>
          </w:p>
        </w:tc>
        <w:tc>
          <w:tcPr>
            <w:tcW w:w="2469" w:type="dxa"/>
            <w:tcBorders>
              <w:top w:val="nil"/>
              <w:left w:val="nil"/>
              <w:bottom w:val="single" w:sz="4" w:space="0" w:color="auto"/>
              <w:right w:val="single" w:sz="4" w:space="0" w:color="auto"/>
            </w:tcBorders>
            <w:shd w:val="clear" w:color="auto" w:fill="auto"/>
            <w:vAlign w:val="center"/>
            <w:hideMark/>
          </w:tcPr>
          <w:p w14:paraId="7993B968"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Cautín</w:t>
            </w:r>
          </w:p>
        </w:tc>
        <w:tc>
          <w:tcPr>
            <w:tcW w:w="2974" w:type="dxa"/>
            <w:tcBorders>
              <w:top w:val="nil"/>
              <w:left w:val="nil"/>
              <w:bottom w:val="single" w:sz="4" w:space="0" w:color="auto"/>
              <w:right w:val="single" w:sz="4" w:space="0" w:color="auto"/>
            </w:tcBorders>
            <w:shd w:val="clear" w:color="auto" w:fill="auto"/>
            <w:vAlign w:val="center"/>
            <w:hideMark/>
          </w:tcPr>
          <w:p w14:paraId="333CD327"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 xml:space="preserve">Araucanía / Cautín </w:t>
            </w:r>
          </w:p>
        </w:tc>
        <w:tc>
          <w:tcPr>
            <w:tcW w:w="1963" w:type="dxa"/>
            <w:tcBorders>
              <w:top w:val="nil"/>
              <w:left w:val="nil"/>
              <w:bottom w:val="single" w:sz="4" w:space="0" w:color="auto"/>
              <w:right w:val="single" w:sz="4" w:space="0" w:color="auto"/>
            </w:tcBorders>
            <w:shd w:val="clear" w:color="auto" w:fill="auto"/>
            <w:vAlign w:val="center"/>
          </w:tcPr>
          <w:p w14:paraId="3F7D491F" w14:textId="0DD101AF" w:rsidR="003434F4" w:rsidRPr="00560106" w:rsidRDefault="00274159"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446B0ED1" w14:textId="456AD39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w:t>
            </w:r>
            <w:r>
              <w:rPr>
                <w:rFonts w:ascii="Verdana" w:hAnsi="Verdana"/>
                <w:color w:val="000000"/>
                <w:lang w:val="es-ES"/>
              </w:rPr>
              <w:t>30</w:t>
            </w:r>
          </w:p>
        </w:tc>
      </w:tr>
      <w:tr w:rsidR="003434F4" w:rsidRPr="00F760FB" w14:paraId="21BD218B"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3A9D1DA7"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8</w:t>
            </w:r>
          </w:p>
        </w:tc>
        <w:tc>
          <w:tcPr>
            <w:tcW w:w="2469" w:type="dxa"/>
            <w:tcBorders>
              <w:top w:val="nil"/>
              <w:left w:val="nil"/>
              <w:bottom w:val="single" w:sz="4" w:space="0" w:color="auto"/>
              <w:right w:val="single" w:sz="4" w:space="0" w:color="auto"/>
            </w:tcBorders>
            <w:shd w:val="clear" w:color="auto" w:fill="auto"/>
            <w:vAlign w:val="center"/>
            <w:hideMark/>
          </w:tcPr>
          <w:p w14:paraId="38876D1B"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 xml:space="preserve">Aromos </w:t>
            </w:r>
          </w:p>
        </w:tc>
        <w:tc>
          <w:tcPr>
            <w:tcW w:w="2974" w:type="dxa"/>
            <w:tcBorders>
              <w:top w:val="nil"/>
              <w:left w:val="nil"/>
              <w:bottom w:val="single" w:sz="4" w:space="0" w:color="auto"/>
              <w:right w:val="single" w:sz="4" w:space="0" w:color="auto"/>
            </w:tcBorders>
            <w:shd w:val="clear" w:color="auto" w:fill="auto"/>
            <w:vAlign w:val="center"/>
            <w:hideMark/>
          </w:tcPr>
          <w:p w14:paraId="3E716BB1"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 xml:space="preserve">Valparaíso / Aconcagua </w:t>
            </w:r>
          </w:p>
        </w:tc>
        <w:tc>
          <w:tcPr>
            <w:tcW w:w="1963" w:type="dxa"/>
            <w:tcBorders>
              <w:top w:val="nil"/>
              <w:left w:val="nil"/>
              <w:bottom w:val="single" w:sz="4" w:space="0" w:color="auto"/>
              <w:right w:val="single" w:sz="4" w:space="0" w:color="auto"/>
            </w:tcBorders>
            <w:shd w:val="clear" w:color="auto" w:fill="auto"/>
            <w:vAlign w:val="center"/>
          </w:tcPr>
          <w:p w14:paraId="203D38B3" w14:textId="250E0CC0" w:rsidR="003434F4" w:rsidRPr="00560106" w:rsidRDefault="00E9794D" w:rsidP="00F23FEA">
            <w:pPr>
              <w:spacing w:before="40" w:after="40"/>
              <w:jc w:val="center"/>
              <w:rPr>
                <w:rFonts w:ascii="Verdana" w:hAnsi="Verdana"/>
                <w:color w:val="000000"/>
                <w:lang w:val="es-ES"/>
              </w:rPr>
            </w:pPr>
            <w:r>
              <w:rPr>
                <w:rFonts w:ascii="Verdana" w:hAnsi="Verdana"/>
                <w:color w:val="000000"/>
                <w:lang w:val="es-ES"/>
              </w:rPr>
              <w:t>5</w:t>
            </w:r>
            <w:r w:rsidR="00BD023D">
              <w:rPr>
                <w:rFonts w:ascii="Verdana" w:hAnsi="Verdana"/>
                <w:color w:val="000000"/>
                <w:lang w:val="es-ES"/>
              </w:rPr>
              <w:t>9</w:t>
            </w:r>
          </w:p>
        </w:tc>
        <w:tc>
          <w:tcPr>
            <w:tcW w:w="2393" w:type="dxa"/>
            <w:tcBorders>
              <w:top w:val="nil"/>
              <w:left w:val="nil"/>
              <w:bottom w:val="single" w:sz="4" w:space="0" w:color="auto"/>
              <w:right w:val="single" w:sz="4" w:space="0" w:color="auto"/>
            </w:tcBorders>
            <w:shd w:val="clear" w:color="auto" w:fill="auto"/>
            <w:vAlign w:val="center"/>
            <w:hideMark/>
          </w:tcPr>
          <w:p w14:paraId="67B4E4DF"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N/A</w:t>
            </w:r>
          </w:p>
        </w:tc>
      </w:tr>
      <w:tr w:rsidR="003434F4" w:rsidRPr="00F760FB" w14:paraId="0570F7A9"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6FBCA5DD"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9</w:t>
            </w:r>
          </w:p>
        </w:tc>
        <w:tc>
          <w:tcPr>
            <w:tcW w:w="2469" w:type="dxa"/>
            <w:tcBorders>
              <w:top w:val="nil"/>
              <w:left w:val="nil"/>
              <w:bottom w:val="single" w:sz="4" w:space="0" w:color="auto"/>
              <w:right w:val="single" w:sz="4" w:space="0" w:color="auto"/>
            </w:tcBorders>
            <w:shd w:val="clear" w:color="auto" w:fill="auto"/>
            <w:vAlign w:val="center"/>
            <w:hideMark/>
          </w:tcPr>
          <w:p w14:paraId="3333FD5B"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Canelillo</w:t>
            </w:r>
          </w:p>
        </w:tc>
        <w:tc>
          <w:tcPr>
            <w:tcW w:w="2974" w:type="dxa"/>
            <w:tcBorders>
              <w:top w:val="nil"/>
              <w:left w:val="nil"/>
              <w:bottom w:val="single" w:sz="4" w:space="0" w:color="auto"/>
              <w:right w:val="single" w:sz="4" w:space="0" w:color="auto"/>
            </w:tcBorders>
            <w:shd w:val="clear" w:color="auto" w:fill="auto"/>
            <w:vAlign w:val="center"/>
            <w:hideMark/>
          </w:tcPr>
          <w:p w14:paraId="6C8B5F74"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 xml:space="preserve">Coquimbo / Choapa </w:t>
            </w:r>
          </w:p>
        </w:tc>
        <w:tc>
          <w:tcPr>
            <w:tcW w:w="1963" w:type="dxa"/>
            <w:tcBorders>
              <w:top w:val="nil"/>
              <w:left w:val="nil"/>
              <w:bottom w:val="single" w:sz="4" w:space="0" w:color="auto"/>
              <w:right w:val="single" w:sz="4" w:space="0" w:color="auto"/>
            </w:tcBorders>
            <w:shd w:val="clear" w:color="auto" w:fill="auto"/>
            <w:vAlign w:val="center"/>
          </w:tcPr>
          <w:p w14:paraId="39D9C559" w14:textId="7C9FBAB5" w:rsidR="003434F4" w:rsidRPr="00560106" w:rsidRDefault="00E9794D"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7274C9DC" w14:textId="040A5B2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w:t>
            </w:r>
            <w:r>
              <w:rPr>
                <w:rFonts w:ascii="Verdana" w:hAnsi="Verdana"/>
                <w:color w:val="000000"/>
                <w:lang w:val="es-ES"/>
              </w:rPr>
              <w:t>30</w:t>
            </w:r>
          </w:p>
        </w:tc>
      </w:tr>
      <w:tr w:rsidR="003434F4" w:rsidRPr="00F760FB" w14:paraId="7B077AE8"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59D9AFE3"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10</w:t>
            </w:r>
          </w:p>
        </w:tc>
        <w:tc>
          <w:tcPr>
            <w:tcW w:w="2469" w:type="dxa"/>
            <w:tcBorders>
              <w:top w:val="nil"/>
              <w:left w:val="nil"/>
              <w:bottom w:val="single" w:sz="4" w:space="0" w:color="auto"/>
              <w:right w:val="single" w:sz="4" w:space="0" w:color="auto"/>
            </w:tcBorders>
            <w:shd w:val="clear" w:color="auto" w:fill="auto"/>
            <w:vAlign w:val="center"/>
            <w:hideMark/>
          </w:tcPr>
          <w:p w14:paraId="0F3D78BA"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Catemu</w:t>
            </w:r>
          </w:p>
        </w:tc>
        <w:tc>
          <w:tcPr>
            <w:tcW w:w="2974" w:type="dxa"/>
            <w:tcBorders>
              <w:top w:val="nil"/>
              <w:left w:val="nil"/>
              <w:bottom w:val="single" w:sz="4" w:space="0" w:color="auto"/>
              <w:right w:val="single" w:sz="4" w:space="0" w:color="auto"/>
            </w:tcBorders>
            <w:shd w:val="clear" w:color="auto" w:fill="auto"/>
            <w:vAlign w:val="center"/>
            <w:hideMark/>
          </w:tcPr>
          <w:p w14:paraId="444D2234"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Valparaíso / Aconcagua</w:t>
            </w:r>
          </w:p>
        </w:tc>
        <w:tc>
          <w:tcPr>
            <w:tcW w:w="1963" w:type="dxa"/>
            <w:tcBorders>
              <w:top w:val="nil"/>
              <w:left w:val="nil"/>
              <w:bottom w:val="single" w:sz="4" w:space="0" w:color="auto"/>
              <w:right w:val="single" w:sz="4" w:space="0" w:color="auto"/>
            </w:tcBorders>
            <w:shd w:val="clear" w:color="auto" w:fill="auto"/>
            <w:vAlign w:val="center"/>
          </w:tcPr>
          <w:p w14:paraId="5E260C4A" w14:textId="6C11A97B" w:rsidR="003434F4" w:rsidRPr="00560106" w:rsidRDefault="00E9794D"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74B26632" w14:textId="6A35E232"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w:t>
            </w:r>
            <w:r>
              <w:rPr>
                <w:rFonts w:ascii="Verdana" w:hAnsi="Verdana"/>
                <w:color w:val="000000"/>
                <w:lang w:val="es-ES"/>
              </w:rPr>
              <w:t>30</w:t>
            </w:r>
          </w:p>
        </w:tc>
      </w:tr>
      <w:tr w:rsidR="003434F4" w:rsidRPr="00F760FB" w14:paraId="37FC969F"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6903021A"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11</w:t>
            </w:r>
          </w:p>
        </w:tc>
        <w:tc>
          <w:tcPr>
            <w:tcW w:w="2469" w:type="dxa"/>
            <w:tcBorders>
              <w:top w:val="nil"/>
              <w:left w:val="nil"/>
              <w:bottom w:val="single" w:sz="4" w:space="0" w:color="auto"/>
              <w:right w:val="single" w:sz="4" w:space="0" w:color="auto"/>
            </w:tcBorders>
            <w:shd w:val="clear" w:color="auto" w:fill="auto"/>
            <w:vAlign w:val="center"/>
            <w:hideMark/>
          </w:tcPr>
          <w:p w14:paraId="337487F9"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 xml:space="preserve">Pocuro </w:t>
            </w:r>
          </w:p>
        </w:tc>
        <w:tc>
          <w:tcPr>
            <w:tcW w:w="2974" w:type="dxa"/>
            <w:tcBorders>
              <w:top w:val="nil"/>
              <w:left w:val="nil"/>
              <w:bottom w:val="single" w:sz="4" w:space="0" w:color="auto"/>
              <w:right w:val="single" w:sz="4" w:space="0" w:color="auto"/>
            </w:tcBorders>
            <w:shd w:val="clear" w:color="auto" w:fill="auto"/>
            <w:vAlign w:val="center"/>
            <w:hideMark/>
          </w:tcPr>
          <w:p w14:paraId="18911DD9"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 xml:space="preserve">Valparaíso / Aconcagua </w:t>
            </w:r>
          </w:p>
        </w:tc>
        <w:tc>
          <w:tcPr>
            <w:tcW w:w="1963" w:type="dxa"/>
            <w:tcBorders>
              <w:top w:val="nil"/>
              <w:left w:val="nil"/>
              <w:bottom w:val="single" w:sz="4" w:space="0" w:color="auto"/>
              <w:right w:val="single" w:sz="4" w:space="0" w:color="auto"/>
            </w:tcBorders>
            <w:shd w:val="clear" w:color="auto" w:fill="auto"/>
            <w:vAlign w:val="center"/>
          </w:tcPr>
          <w:p w14:paraId="1232BEC3" w14:textId="16CABF99" w:rsidR="003434F4" w:rsidRPr="00560106" w:rsidRDefault="00E9794D"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3FCD09C5"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2030</w:t>
            </w:r>
          </w:p>
        </w:tc>
      </w:tr>
      <w:tr w:rsidR="003434F4" w:rsidRPr="00F760FB" w14:paraId="3F7DCA2F"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702B133F"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12</w:t>
            </w:r>
          </w:p>
        </w:tc>
        <w:tc>
          <w:tcPr>
            <w:tcW w:w="2469" w:type="dxa"/>
            <w:tcBorders>
              <w:top w:val="nil"/>
              <w:left w:val="nil"/>
              <w:bottom w:val="single" w:sz="4" w:space="0" w:color="auto"/>
              <w:right w:val="single" w:sz="4" w:space="0" w:color="auto"/>
            </w:tcBorders>
            <w:shd w:val="clear" w:color="auto" w:fill="auto"/>
            <w:vAlign w:val="center"/>
            <w:hideMark/>
          </w:tcPr>
          <w:p w14:paraId="3F8E4EA6"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Longaví</w:t>
            </w:r>
          </w:p>
        </w:tc>
        <w:tc>
          <w:tcPr>
            <w:tcW w:w="2974" w:type="dxa"/>
            <w:tcBorders>
              <w:top w:val="nil"/>
              <w:left w:val="nil"/>
              <w:bottom w:val="single" w:sz="4" w:space="0" w:color="auto"/>
              <w:right w:val="single" w:sz="4" w:space="0" w:color="auto"/>
            </w:tcBorders>
            <w:shd w:val="clear" w:color="auto" w:fill="auto"/>
            <w:vAlign w:val="center"/>
            <w:hideMark/>
          </w:tcPr>
          <w:p w14:paraId="516C0C66"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 xml:space="preserve">Maule / Longaví </w:t>
            </w:r>
          </w:p>
        </w:tc>
        <w:tc>
          <w:tcPr>
            <w:tcW w:w="1963" w:type="dxa"/>
            <w:tcBorders>
              <w:top w:val="nil"/>
              <w:left w:val="nil"/>
              <w:bottom w:val="single" w:sz="4" w:space="0" w:color="auto"/>
              <w:right w:val="single" w:sz="4" w:space="0" w:color="auto"/>
            </w:tcBorders>
            <w:shd w:val="clear" w:color="auto" w:fill="auto"/>
            <w:vAlign w:val="center"/>
          </w:tcPr>
          <w:p w14:paraId="39247395" w14:textId="06387610" w:rsidR="003434F4" w:rsidRPr="00560106" w:rsidRDefault="002E09E7"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4672DC64"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2030</w:t>
            </w:r>
          </w:p>
        </w:tc>
      </w:tr>
      <w:tr w:rsidR="003434F4" w:rsidRPr="00F760FB" w14:paraId="22E13EF9"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57C24F74"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13</w:t>
            </w:r>
          </w:p>
        </w:tc>
        <w:tc>
          <w:tcPr>
            <w:tcW w:w="2469" w:type="dxa"/>
            <w:tcBorders>
              <w:top w:val="nil"/>
              <w:left w:val="nil"/>
              <w:bottom w:val="single" w:sz="4" w:space="0" w:color="auto"/>
              <w:right w:val="single" w:sz="4" w:space="0" w:color="auto"/>
            </w:tcBorders>
            <w:shd w:val="clear" w:color="auto" w:fill="auto"/>
            <w:vAlign w:val="center"/>
            <w:hideMark/>
          </w:tcPr>
          <w:p w14:paraId="546F01F0" w14:textId="77777777" w:rsidR="003434F4" w:rsidRPr="00595D2A" w:rsidRDefault="003434F4" w:rsidP="00F23FEA">
            <w:pPr>
              <w:spacing w:before="40" w:after="40"/>
              <w:rPr>
                <w:rFonts w:ascii="Verdana" w:hAnsi="Verdana"/>
                <w:b/>
                <w:bCs/>
                <w:lang w:val="es-ES"/>
              </w:rPr>
            </w:pPr>
            <w:proofErr w:type="spellStart"/>
            <w:r w:rsidRPr="00595D2A">
              <w:rPr>
                <w:rFonts w:ascii="Verdana" w:hAnsi="Verdana"/>
                <w:b/>
                <w:bCs/>
                <w:lang w:val="es-ES"/>
              </w:rPr>
              <w:t>Livilcar</w:t>
            </w:r>
            <w:proofErr w:type="spellEnd"/>
          </w:p>
        </w:tc>
        <w:tc>
          <w:tcPr>
            <w:tcW w:w="2974" w:type="dxa"/>
            <w:tcBorders>
              <w:top w:val="nil"/>
              <w:left w:val="nil"/>
              <w:bottom w:val="single" w:sz="4" w:space="0" w:color="auto"/>
              <w:right w:val="single" w:sz="4" w:space="0" w:color="auto"/>
            </w:tcBorders>
            <w:shd w:val="clear" w:color="auto" w:fill="auto"/>
            <w:vAlign w:val="center"/>
            <w:hideMark/>
          </w:tcPr>
          <w:p w14:paraId="41AA2423"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Arica y Parinacota / San José</w:t>
            </w:r>
          </w:p>
        </w:tc>
        <w:tc>
          <w:tcPr>
            <w:tcW w:w="1963" w:type="dxa"/>
            <w:tcBorders>
              <w:top w:val="nil"/>
              <w:left w:val="nil"/>
              <w:bottom w:val="single" w:sz="4" w:space="0" w:color="auto"/>
              <w:right w:val="single" w:sz="4" w:space="0" w:color="auto"/>
            </w:tcBorders>
            <w:shd w:val="clear" w:color="auto" w:fill="auto"/>
            <w:vAlign w:val="center"/>
          </w:tcPr>
          <w:p w14:paraId="37392549" w14:textId="0B2E31C8" w:rsidR="003434F4" w:rsidRPr="00560106" w:rsidRDefault="002E09E7"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265841CE"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2030</w:t>
            </w:r>
          </w:p>
        </w:tc>
      </w:tr>
      <w:tr w:rsidR="003434F4" w:rsidRPr="00F760FB" w14:paraId="5AC28757"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3639A6B5"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14</w:t>
            </w:r>
          </w:p>
        </w:tc>
        <w:tc>
          <w:tcPr>
            <w:tcW w:w="2469" w:type="dxa"/>
            <w:tcBorders>
              <w:top w:val="nil"/>
              <w:left w:val="nil"/>
              <w:bottom w:val="single" w:sz="4" w:space="0" w:color="auto"/>
              <w:right w:val="single" w:sz="4" w:space="0" w:color="auto"/>
            </w:tcBorders>
            <w:shd w:val="clear" w:color="auto" w:fill="auto"/>
            <w:vAlign w:val="center"/>
            <w:hideMark/>
          </w:tcPr>
          <w:p w14:paraId="5CBD35D5"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Ancoa Sitio Original</w:t>
            </w:r>
          </w:p>
        </w:tc>
        <w:tc>
          <w:tcPr>
            <w:tcW w:w="2974" w:type="dxa"/>
            <w:tcBorders>
              <w:top w:val="nil"/>
              <w:left w:val="nil"/>
              <w:bottom w:val="single" w:sz="4" w:space="0" w:color="auto"/>
              <w:right w:val="single" w:sz="4" w:space="0" w:color="auto"/>
            </w:tcBorders>
            <w:shd w:val="clear" w:color="auto" w:fill="auto"/>
            <w:vAlign w:val="center"/>
            <w:hideMark/>
          </w:tcPr>
          <w:p w14:paraId="61C7228A"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 xml:space="preserve">Maule / Linares </w:t>
            </w:r>
          </w:p>
        </w:tc>
        <w:tc>
          <w:tcPr>
            <w:tcW w:w="1963" w:type="dxa"/>
            <w:tcBorders>
              <w:top w:val="nil"/>
              <w:left w:val="nil"/>
              <w:bottom w:val="single" w:sz="4" w:space="0" w:color="auto"/>
              <w:right w:val="single" w:sz="4" w:space="0" w:color="auto"/>
            </w:tcBorders>
            <w:shd w:val="clear" w:color="auto" w:fill="auto"/>
            <w:vAlign w:val="center"/>
          </w:tcPr>
          <w:p w14:paraId="2F84F322" w14:textId="3F160453" w:rsidR="003434F4" w:rsidRPr="00560106" w:rsidRDefault="002E09E7"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1A702184"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2030</w:t>
            </w:r>
          </w:p>
        </w:tc>
      </w:tr>
      <w:tr w:rsidR="003434F4" w:rsidRPr="00F760FB" w14:paraId="70F189B9"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73CEEBE5"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15</w:t>
            </w:r>
          </w:p>
        </w:tc>
        <w:tc>
          <w:tcPr>
            <w:tcW w:w="2469" w:type="dxa"/>
            <w:tcBorders>
              <w:top w:val="nil"/>
              <w:left w:val="nil"/>
              <w:bottom w:val="single" w:sz="4" w:space="0" w:color="auto"/>
              <w:right w:val="single" w:sz="4" w:space="0" w:color="auto"/>
            </w:tcBorders>
            <w:shd w:val="clear" w:color="auto" w:fill="auto"/>
            <w:vAlign w:val="center"/>
            <w:hideMark/>
          </w:tcPr>
          <w:p w14:paraId="643CA17B" w14:textId="77777777" w:rsidR="003434F4" w:rsidRPr="00595D2A" w:rsidRDefault="003434F4" w:rsidP="00F23FEA">
            <w:pPr>
              <w:spacing w:before="40" w:after="40"/>
              <w:rPr>
                <w:rFonts w:ascii="Verdana" w:hAnsi="Verdana"/>
                <w:b/>
                <w:bCs/>
                <w:lang w:val="es-ES"/>
              </w:rPr>
            </w:pPr>
            <w:proofErr w:type="spellStart"/>
            <w:r w:rsidRPr="00595D2A">
              <w:rPr>
                <w:rFonts w:ascii="Verdana" w:hAnsi="Verdana"/>
                <w:b/>
                <w:bCs/>
                <w:lang w:val="es-ES"/>
              </w:rPr>
              <w:t>Bollenar</w:t>
            </w:r>
            <w:proofErr w:type="spellEnd"/>
          </w:p>
        </w:tc>
        <w:tc>
          <w:tcPr>
            <w:tcW w:w="2974" w:type="dxa"/>
            <w:tcBorders>
              <w:top w:val="nil"/>
              <w:left w:val="nil"/>
              <w:bottom w:val="single" w:sz="4" w:space="0" w:color="auto"/>
              <w:right w:val="single" w:sz="4" w:space="0" w:color="auto"/>
            </w:tcBorders>
            <w:shd w:val="clear" w:color="auto" w:fill="auto"/>
            <w:vAlign w:val="center"/>
            <w:hideMark/>
          </w:tcPr>
          <w:p w14:paraId="050BDE1A"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 xml:space="preserve">Libertador </w:t>
            </w:r>
            <w:proofErr w:type="spellStart"/>
            <w:r w:rsidRPr="00F760FB">
              <w:rPr>
                <w:rFonts w:ascii="Verdana" w:hAnsi="Verdana"/>
                <w:color w:val="000000"/>
                <w:lang w:val="es-ES"/>
              </w:rPr>
              <w:t>Bernando</w:t>
            </w:r>
            <w:proofErr w:type="spellEnd"/>
            <w:r w:rsidRPr="00F760FB">
              <w:rPr>
                <w:rFonts w:ascii="Verdana" w:hAnsi="Verdana"/>
                <w:color w:val="000000"/>
                <w:lang w:val="es-ES"/>
              </w:rPr>
              <w:t xml:space="preserve"> O´Higgins/ Rengo </w:t>
            </w:r>
          </w:p>
        </w:tc>
        <w:tc>
          <w:tcPr>
            <w:tcW w:w="1963" w:type="dxa"/>
            <w:tcBorders>
              <w:top w:val="nil"/>
              <w:left w:val="nil"/>
              <w:bottom w:val="single" w:sz="4" w:space="0" w:color="auto"/>
              <w:right w:val="single" w:sz="4" w:space="0" w:color="auto"/>
            </w:tcBorders>
            <w:shd w:val="clear" w:color="auto" w:fill="auto"/>
            <w:vAlign w:val="center"/>
          </w:tcPr>
          <w:p w14:paraId="33544CEF" w14:textId="31853886" w:rsidR="003434F4" w:rsidRPr="00560106" w:rsidRDefault="000E3D01" w:rsidP="00F23FEA">
            <w:pPr>
              <w:spacing w:before="40" w:after="40"/>
              <w:jc w:val="center"/>
              <w:rPr>
                <w:rFonts w:ascii="Verdana" w:hAnsi="Verdana"/>
                <w:color w:val="000000"/>
                <w:lang w:val="es-ES"/>
              </w:rPr>
            </w:pPr>
            <w:r>
              <w:rPr>
                <w:rFonts w:ascii="Verdana" w:hAnsi="Verdana"/>
                <w:color w:val="000000"/>
                <w:lang w:val="es-ES"/>
              </w:rPr>
              <w:t>5</w:t>
            </w:r>
            <w:r w:rsidR="00BD023D">
              <w:rPr>
                <w:rFonts w:ascii="Verdana" w:hAnsi="Verdana"/>
                <w:color w:val="000000"/>
                <w:lang w:val="es-ES"/>
              </w:rPr>
              <w:t>9</w:t>
            </w:r>
          </w:p>
        </w:tc>
        <w:tc>
          <w:tcPr>
            <w:tcW w:w="2393" w:type="dxa"/>
            <w:tcBorders>
              <w:top w:val="nil"/>
              <w:left w:val="nil"/>
              <w:bottom w:val="single" w:sz="4" w:space="0" w:color="auto"/>
              <w:right w:val="single" w:sz="4" w:space="0" w:color="auto"/>
            </w:tcBorders>
            <w:shd w:val="clear" w:color="auto" w:fill="auto"/>
            <w:vAlign w:val="center"/>
            <w:hideMark/>
          </w:tcPr>
          <w:p w14:paraId="44183D39"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2030</w:t>
            </w:r>
          </w:p>
        </w:tc>
      </w:tr>
      <w:tr w:rsidR="003434F4" w:rsidRPr="00F760FB" w14:paraId="14F27A9D"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7D3D6C20"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16</w:t>
            </w:r>
          </w:p>
        </w:tc>
        <w:tc>
          <w:tcPr>
            <w:tcW w:w="2469" w:type="dxa"/>
            <w:tcBorders>
              <w:top w:val="nil"/>
              <w:left w:val="nil"/>
              <w:bottom w:val="single" w:sz="4" w:space="0" w:color="auto"/>
              <w:right w:val="single" w:sz="4" w:space="0" w:color="auto"/>
            </w:tcBorders>
            <w:shd w:val="clear" w:color="auto" w:fill="auto"/>
            <w:vAlign w:val="center"/>
            <w:hideMark/>
          </w:tcPr>
          <w:p w14:paraId="3869F373"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La Tranca</w:t>
            </w:r>
          </w:p>
        </w:tc>
        <w:tc>
          <w:tcPr>
            <w:tcW w:w="2974" w:type="dxa"/>
            <w:tcBorders>
              <w:top w:val="nil"/>
              <w:left w:val="nil"/>
              <w:bottom w:val="single" w:sz="4" w:space="0" w:color="auto"/>
              <w:right w:val="single" w:sz="4" w:space="0" w:color="auto"/>
            </w:tcBorders>
            <w:shd w:val="clear" w:color="auto" w:fill="auto"/>
            <w:vAlign w:val="center"/>
            <w:hideMark/>
          </w:tcPr>
          <w:p w14:paraId="53AD44F0"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Coquimbo / Río Cogotí</w:t>
            </w:r>
          </w:p>
        </w:tc>
        <w:tc>
          <w:tcPr>
            <w:tcW w:w="1963" w:type="dxa"/>
            <w:tcBorders>
              <w:top w:val="nil"/>
              <w:left w:val="nil"/>
              <w:bottom w:val="single" w:sz="4" w:space="0" w:color="auto"/>
              <w:right w:val="single" w:sz="4" w:space="0" w:color="auto"/>
            </w:tcBorders>
            <w:shd w:val="clear" w:color="auto" w:fill="auto"/>
            <w:vAlign w:val="center"/>
          </w:tcPr>
          <w:p w14:paraId="393A93F0" w14:textId="4AB0CD0D" w:rsidR="003434F4" w:rsidRPr="00560106" w:rsidRDefault="002E09E7"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174A357B"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2030</w:t>
            </w:r>
          </w:p>
        </w:tc>
      </w:tr>
      <w:tr w:rsidR="003434F4" w:rsidRPr="00F760FB" w14:paraId="54BBF798"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3556A517"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17</w:t>
            </w:r>
          </w:p>
        </w:tc>
        <w:tc>
          <w:tcPr>
            <w:tcW w:w="2469" w:type="dxa"/>
            <w:tcBorders>
              <w:top w:val="nil"/>
              <w:left w:val="nil"/>
              <w:bottom w:val="single" w:sz="4" w:space="0" w:color="auto"/>
              <w:right w:val="single" w:sz="4" w:space="0" w:color="auto"/>
            </w:tcBorders>
            <w:shd w:val="clear" w:color="auto" w:fill="auto"/>
            <w:vAlign w:val="center"/>
            <w:hideMark/>
          </w:tcPr>
          <w:p w14:paraId="580824D7"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Murallas Viejas</w:t>
            </w:r>
          </w:p>
        </w:tc>
        <w:tc>
          <w:tcPr>
            <w:tcW w:w="2974" w:type="dxa"/>
            <w:tcBorders>
              <w:top w:val="nil"/>
              <w:left w:val="nil"/>
              <w:bottom w:val="single" w:sz="4" w:space="0" w:color="auto"/>
              <w:right w:val="single" w:sz="4" w:space="0" w:color="auto"/>
            </w:tcBorders>
            <w:shd w:val="clear" w:color="auto" w:fill="auto"/>
            <w:vAlign w:val="center"/>
            <w:hideMark/>
          </w:tcPr>
          <w:p w14:paraId="4B7A42DE"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Coquimbo / Río Combarbalá</w:t>
            </w:r>
          </w:p>
        </w:tc>
        <w:tc>
          <w:tcPr>
            <w:tcW w:w="1963" w:type="dxa"/>
            <w:tcBorders>
              <w:top w:val="nil"/>
              <w:left w:val="nil"/>
              <w:bottom w:val="single" w:sz="4" w:space="0" w:color="auto"/>
              <w:right w:val="single" w:sz="4" w:space="0" w:color="auto"/>
            </w:tcBorders>
            <w:shd w:val="clear" w:color="auto" w:fill="auto"/>
            <w:vAlign w:val="center"/>
          </w:tcPr>
          <w:p w14:paraId="2C6414AB" w14:textId="7BB750F3" w:rsidR="003434F4" w:rsidRPr="00560106" w:rsidRDefault="002E09E7"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1679ABAE"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2030</w:t>
            </w:r>
          </w:p>
        </w:tc>
      </w:tr>
      <w:tr w:rsidR="003434F4" w:rsidRPr="00F760FB" w14:paraId="19A09B18"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4A1663B3"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18</w:t>
            </w:r>
          </w:p>
        </w:tc>
        <w:tc>
          <w:tcPr>
            <w:tcW w:w="2469" w:type="dxa"/>
            <w:tcBorders>
              <w:top w:val="nil"/>
              <w:left w:val="nil"/>
              <w:bottom w:val="single" w:sz="4" w:space="0" w:color="auto"/>
              <w:right w:val="single" w:sz="4" w:space="0" w:color="auto"/>
            </w:tcBorders>
            <w:shd w:val="clear" w:color="auto" w:fill="auto"/>
            <w:vAlign w:val="center"/>
            <w:hideMark/>
          </w:tcPr>
          <w:p w14:paraId="57FBAFEE"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Los Ángeles</w:t>
            </w:r>
          </w:p>
        </w:tc>
        <w:tc>
          <w:tcPr>
            <w:tcW w:w="2974" w:type="dxa"/>
            <w:tcBorders>
              <w:top w:val="nil"/>
              <w:left w:val="nil"/>
              <w:bottom w:val="single" w:sz="4" w:space="0" w:color="auto"/>
              <w:right w:val="single" w:sz="4" w:space="0" w:color="auto"/>
            </w:tcBorders>
            <w:shd w:val="clear" w:color="auto" w:fill="auto"/>
            <w:vAlign w:val="center"/>
            <w:hideMark/>
          </w:tcPr>
          <w:p w14:paraId="6D99187F"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 xml:space="preserve">Valparaíso /Los Ángeles </w:t>
            </w:r>
          </w:p>
        </w:tc>
        <w:tc>
          <w:tcPr>
            <w:tcW w:w="1963" w:type="dxa"/>
            <w:tcBorders>
              <w:top w:val="nil"/>
              <w:left w:val="nil"/>
              <w:bottom w:val="single" w:sz="4" w:space="0" w:color="auto"/>
              <w:right w:val="single" w:sz="4" w:space="0" w:color="auto"/>
            </w:tcBorders>
            <w:shd w:val="clear" w:color="auto" w:fill="auto"/>
            <w:vAlign w:val="center"/>
          </w:tcPr>
          <w:p w14:paraId="254DB494" w14:textId="42A96354" w:rsidR="003434F4" w:rsidRPr="00560106" w:rsidRDefault="002E09E7"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31154FBC"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2030</w:t>
            </w:r>
          </w:p>
        </w:tc>
      </w:tr>
      <w:tr w:rsidR="003434F4" w:rsidRPr="00F760FB" w14:paraId="0AA54E79"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416A993F"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19</w:t>
            </w:r>
          </w:p>
        </w:tc>
        <w:tc>
          <w:tcPr>
            <w:tcW w:w="2469" w:type="dxa"/>
            <w:tcBorders>
              <w:top w:val="nil"/>
              <w:left w:val="nil"/>
              <w:bottom w:val="single" w:sz="4" w:space="0" w:color="auto"/>
              <w:right w:val="single" w:sz="4" w:space="0" w:color="auto"/>
            </w:tcBorders>
            <w:shd w:val="clear" w:color="auto" w:fill="auto"/>
            <w:vAlign w:val="center"/>
            <w:hideMark/>
          </w:tcPr>
          <w:p w14:paraId="3185E233"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La Chupalla</w:t>
            </w:r>
          </w:p>
        </w:tc>
        <w:tc>
          <w:tcPr>
            <w:tcW w:w="2974" w:type="dxa"/>
            <w:tcBorders>
              <w:top w:val="nil"/>
              <w:left w:val="nil"/>
              <w:bottom w:val="single" w:sz="4" w:space="0" w:color="auto"/>
              <w:right w:val="single" w:sz="4" w:space="0" w:color="auto"/>
            </w:tcBorders>
            <w:shd w:val="clear" w:color="auto" w:fill="auto"/>
            <w:vAlign w:val="center"/>
            <w:hideMark/>
          </w:tcPr>
          <w:p w14:paraId="78438FF9"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 xml:space="preserve">Valparaíso / Alicahue-Ligua </w:t>
            </w:r>
          </w:p>
        </w:tc>
        <w:tc>
          <w:tcPr>
            <w:tcW w:w="1963" w:type="dxa"/>
            <w:tcBorders>
              <w:top w:val="nil"/>
              <w:left w:val="nil"/>
              <w:bottom w:val="single" w:sz="4" w:space="0" w:color="auto"/>
              <w:right w:val="single" w:sz="4" w:space="0" w:color="auto"/>
            </w:tcBorders>
            <w:shd w:val="clear" w:color="auto" w:fill="auto"/>
            <w:vAlign w:val="center"/>
          </w:tcPr>
          <w:p w14:paraId="52F72E4E" w14:textId="77545A77" w:rsidR="003434F4" w:rsidRPr="00560106" w:rsidRDefault="002E09E7"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6FB84112"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2030</w:t>
            </w:r>
          </w:p>
        </w:tc>
      </w:tr>
      <w:tr w:rsidR="003434F4" w:rsidRPr="00F760FB" w14:paraId="7F57D14A"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02C0200C"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20</w:t>
            </w:r>
          </w:p>
        </w:tc>
        <w:tc>
          <w:tcPr>
            <w:tcW w:w="2469" w:type="dxa"/>
            <w:tcBorders>
              <w:top w:val="nil"/>
              <w:left w:val="nil"/>
              <w:bottom w:val="single" w:sz="4" w:space="0" w:color="auto"/>
              <w:right w:val="single" w:sz="4" w:space="0" w:color="auto"/>
            </w:tcBorders>
            <w:shd w:val="clear" w:color="auto" w:fill="auto"/>
            <w:vAlign w:val="center"/>
            <w:hideMark/>
          </w:tcPr>
          <w:p w14:paraId="1F9A26A8"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Lautaro</w:t>
            </w:r>
          </w:p>
        </w:tc>
        <w:tc>
          <w:tcPr>
            <w:tcW w:w="2974" w:type="dxa"/>
            <w:tcBorders>
              <w:top w:val="nil"/>
              <w:left w:val="nil"/>
              <w:bottom w:val="single" w:sz="4" w:space="0" w:color="auto"/>
              <w:right w:val="single" w:sz="4" w:space="0" w:color="auto"/>
            </w:tcBorders>
            <w:shd w:val="clear" w:color="auto" w:fill="auto"/>
            <w:vAlign w:val="center"/>
            <w:hideMark/>
          </w:tcPr>
          <w:p w14:paraId="77C9BAA5"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 xml:space="preserve">Atacama / Copiapó </w:t>
            </w:r>
          </w:p>
        </w:tc>
        <w:tc>
          <w:tcPr>
            <w:tcW w:w="1963" w:type="dxa"/>
            <w:tcBorders>
              <w:top w:val="nil"/>
              <w:left w:val="nil"/>
              <w:bottom w:val="single" w:sz="4" w:space="0" w:color="auto"/>
              <w:right w:val="single" w:sz="4" w:space="0" w:color="auto"/>
            </w:tcBorders>
            <w:shd w:val="clear" w:color="auto" w:fill="auto"/>
            <w:vAlign w:val="center"/>
          </w:tcPr>
          <w:p w14:paraId="110A44F4" w14:textId="7A1F75F9" w:rsidR="003434F4" w:rsidRPr="00560106" w:rsidRDefault="002E09E7"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5204059A"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N/A</w:t>
            </w:r>
          </w:p>
        </w:tc>
      </w:tr>
      <w:tr w:rsidR="003434F4" w:rsidRPr="00F760FB" w14:paraId="787B3764"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6704F6BF"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21</w:t>
            </w:r>
          </w:p>
        </w:tc>
        <w:tc>
          <w:tcPr>
            <w:tcW w:w="2469" w:type="dxa"/>
            <w:tcBorders>
              <w:top w:val="nil"/>
              <w:left w:val="nil"/>
              <w:bottom w:val="single" w:sz="4" w:space="0" w:color="auto"/>
              <w:right w:val="single" w:sz="4" w:space="0" w:color="auto"/>
            </w:tcBorders>
            <w:shd w:val="clear" w:color="auto" w:fill="auto"/>
            <w:vAlign w:val="center"/>
            <w:hideMark/>
          </w:tcPr>
          <w:p w14:paraId="447AE8C2"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Rapel</w:t>
            </w:r>
          </w:p>
        </w:tc>
        <w:tc>
          <w:tcPr>
            <w:tcW w:w="2974" w:type="dxa"/>
            <w:tcBorders>
              <w:top w:val="nil"/>
              <w:left w:val="nil"/>
              <w:bottom w:val="single" w:sz="4" w:space="0" w:color="auto"/>
              <w:right w:val="single" w:sz="4" w:space="0" w:color="auto"/>
            </w:tcBorders>
            <w:shd w:val="clear" w:color="auto" w:fill="auto"/>
            <w:vAlign w:val="center"/>
            <w:hideMark/>
          </w:tcPr>
          <w:p w14:paraId="3A403F7B"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 xml:space="preserve">Coquimbo / Limarí </w:t>
            </w:r>
          </w:p>
        </w:tc>
        <w:tc>
          <w:tcPr>
            <w:tcW w:w="1963" w:type="dxa"/>
            <w:tcBorders>
              <w:top w:val="nil"/>
              <w:left w:val="nil"/>
              <w:bottom w:val="single" w:sz="4" w:space="0" w:color="auto"/>
              <w:right w:val="single" w:sz="4" w:space="0" w:color="auto"/>
            </w:tcBorders>
            <w:shd w:val="clear" w:color="auto" w:fill="auto"/>
            <w:vAlign w:val="center"/>
          </w:tcPr>
          <w:p w14:paraId="4DD025D4" w14:textId="23FDBD48" w:rsidR="003434F4" w:rsidRPr="00560106" w:rsidRDefault="002E09E7"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45480F2E"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2030</w:t>
            </w:r>
          </w:p>
        </w:tc>
      </w:tr>
      <w:tr w:rsidR="003434F4" w:rsidRPr="00F760FB" w14:paraId="22B0FB11"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2A08F5CF"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22</w:t>
            </w:r>
          </w:p>
        </w:tc>
        <w:tc>
          <w:tcPr>
            <w:tcW w:w="2469" w:type="dxa"/>
            <w:tcBorders>
              <w:top w:val="nil"/>
              <w:left w:val="nil"/>
              <w:bottom w:val="single" w:sz="4" w:space="0" w:color="auto"/>
              <w:right w:val="single" w:sz="4" w:space="0" w:color="auto"/>
            </w:tcBorders>
            <w:shd w:val="clear" w:color="auto" w:fill="auto"/>
            <w:vAlign w:val="center"/>
            <w:hideMark/>
          </w:tcPr>
          <w:p w14:paraId="34CAD10E"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El Parrón</w:t>
            </w:r>
          </w:p>
        </w:tc>
        <w:tc>
          <w:tcPr>
            <w:tcW w:w="2974" w:type="dxa"/>
            <w:tcBorders>
              <w:top w:val="nil"/>
              <w:left w:val="nil"/>
              <w:bottom w:val="single" w:sz="4" w:space="0" w:color="auto"/>
              <w:right w:val="single" w:sz="4" w:space="0" w:color="auto"/>
            </w:tcBorders>
            <w:shd w:val="clear" w:color="auto" w:fill="auto"/>
            <w:vAlign w:val="center"/>
            <w:hideMark/>
          </w:tcPr>
          <w:p w14:paraId="63C2CB2B"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 xml:space="preserve">Maule / El Parrón </w:t>
            </w:r>
          </w:p>
        </w:tc>
        <w:tc>
          <w:tcPr>
            <w:tcW w:w="1963" w:type="dxa"/>
            <w:tcBorders>
              <w:top w:val="nil"/>
              <w:left w:val="nil"/>
              <w:bottom w:val="single" w:sz="4" w:space="0" w:color="auto"/>
              <w:right w:val="single" w:sz="4" w:space="0" w:color="auto"/>
            </w:tcBorders>
            <w:shd w:val="clear" w:color="auto" w:fill="auto"/>
            <w:vAlign w:val="center"/>
          </w:tcPr>
          <w:p w14:paraId="42F91C98" w14:textId="58533551" w:rsidR="003434F4" w:rsidRPr="00560106" w:rsidRDefault="002E09E7"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69CAC33D"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2030</w:t>
            </w:r>
          </w:p>
        </w:tc>
      </w:tr>
      <w:tr w:rsidR="003434F4" w:rsidRPr="00F760FB" w14:paraId="25A173EA"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7A9C70F9"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23</w:t>
            </w:r>
          </w:p>
        </w:tc>
        <w:tc>
          <w:tcPr>
            <w:tcW w:w="2469" w:type="dxa"/>
            <w:tcBorders>
              <w:top w:val="nil"/>
              <w:left w:val="nil"/>
              <w:bottom w:val="single" w:sz="4" w:space="0" w:color="auto"/>
              <w:right w:val="single" w:sz="4" w:space="0" w:color="auto"/>
            </w:tcBorders>
            <w:shd w:val="clear" w:color="auto" w:fill="auto"/>
            <w:vAlign w:val="center"/>
            <w:hideMark/>
          </w:tcPr>
          <w:p w14:paraId="5EA6EA54" w14:textId="77777777" w:rsidR="003434F4" w:rsidRPr="00595D2A" w:rsidRDefault="003434F4" w:rsidP="00F23FEA">
            <w:pPr>
              <w:spacing w:before="40" w:after="40"/>
              <w:rPr>
                <w:rFonts w:ascii="Verdana" w:hAnsi="Verdana"/>
                <w:b/>
                <w:bCs/>
                <w:lang w:val="es-ES"/>
              </w:rPr>
            </w:pPr>
            <w:proofErr w:type="spellStart"/>
            <w:r w:rsidRPr="00595D2A">
              <w:rPr>
                <w:rFonts w:ascii="Verdana" w:hAnsi="Verdana"/>
                <w:b/>
                <w:bCs/>
                <w:lang w:val="es-ES"/>
              </w:rPr>
              <w:t>Umirpa</w:t>
            </w:r>
            <w:proofErr w:type="spellEnd"/>
          </w:p>
        </w:tc>
        <w:tc>
          <w:tcPr>
            <w:tcW w:w="2974" w:type="dxa"/>
            <w:tcBorders>
              <w:top w:val="nil"/>
              <w:left w:val="nil"/>
              <w:bottom w:val="single" w:sz="4" w:space="0" w:color="auto"/>
              <w:right w:val="single" w:sz="4" w:space="0" w:color="auto"/>
            </w:tcBorders>
            <w:shd w:val="clear" w:color="auto" w:fill="auto"/>
            <w:vAlign w:val="center"/>
            <w:hideMark/>
          </w:tcPr>
          <w:p w14:paraId="44788BAE"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Arica y Parinacota / Camarones</w:t>
            </w:r>
          </w:p>
        </w:tc>
        <w:tc>
          <w:tcPr>
            <w:tcW w:w="1963" w:type="dxa"/>
            <w:tcBorders>
              <w:top w:val="nil"/>
              <w:left w:val="nil"/>
              <w:bottom w:val="single" w:sz="4" w:space="0" w:color="auto"/>
              <w:right w:val="single" w:sz="4" w:space="0" w:color="auto"/>
            </w:tcBorders>
            <w:shd w:val="clear" w:color="auto" w:fill="auto"/>
            <w:vAlign w:val="center"/>
          </w:tcPr>
          <w:p w14:paraId="5F937304" w14:textId="0B314D2E" w:rsidR="003434F4" w:rsidRPr="00560106" w:rsidRDefault="002E09E7"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36B0545E"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2030</w:t>
            </w:r>
          </w:p>
        </w:tc>
      </w:tr>
      <w:tr w:rsidR="003434F4" w:rsidRPr="00F760FB" w14:paraId="6A312BDF" w14:textId="77777777" w:rsidTr="0030767B">
        <w:trPr>
          <w:trHeight w:val="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3DE8A2B6"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24</w:t>
            </w:r>
          </w:p>
        </w:tc>
        <w:tc>
          <w:tcPr>
            <w:tcW w:w="2469" w:type="dxa"/>
            <w:tcBorders>
              <w:top w:val="nil"/>
              <w:left w:val="nil"/>
              <w:bottom w:val="single" w:sz="4" w:space="0" w:color="auto"/>
              <w:right w:val="single" w:sz="4" w:space="0" w:color="auto"/>
            </w:tcBorders>
            <w:shd w:val="clear" w:color="auto" w:fill="auto"/>
            <w:vAlign w:val="center"/>
            <w:hideMark/>
          </w:tcPr>
          <w:p w14:paraId="20B6FDA1"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Codegua</w:t>
            </w:r>
          </w:p>
        </w:tc>
        <w:tc>
          <w:tcPr>
            <w:tcW w:w="2974" w:type="dxa"/>
            <w:tcBorders>
              <w:top w:val="nil"/>
              <w:left w:val="nil"/>
              <w:bottom w:val="single" w:sz="4" w:space="0" w:color="auto"/>
              <w:right w:val="single" w:sz="4" w:space="0" w:color="auto"/>
            </w:tcBorders>
            <w:shd w:val="clear" w:color="auto" w:fill="auto"/>
            <w:vAlign w:val="center"/>
            <w:hideMark/>
          </w:tcPr>
          <w:p w14:paraId="272CD757"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O´Higgins/Estero Codegua</w:t>
            </w:r>
          </w:p>
        </w:tc>
        <w:tc>
          <w:tcPr>
            <w:tcW w:w="1963" w:type="dxa"/>
            <w:tcBorders>
              <w:top w:val="nil"/>
              <w:left w:val="nil"/>
              <w:bottom w:val="single" w:sz="4" w:space="0" w:color="auto"/>
              <w:right w:val="single" w:sz="4" w:space="0" w:color="auto"/>
            </w:tcBorders>
            <w:shd w:val="clear" w:color="auto" w:fill="auto"/>
            <w:vAlign w:val="center"/>
          </w:tcPr>
          <w:p w14:paraId="7E4DF3E0" w14:textId="7D6A8EA3" w:rsidR="003434F4" w:rsidRPr="00560106" w:rsidRDefault="002E09E7"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nil"/>
              <w:left w:val="nil"/>
              <w:bottom w:val="single" w:sz="4" w:space="0" w:color="auto"/>
              <w:right w:val="single" w:sz="4" w:space="0" w:color="auto"/>
            </w:tcBorders>
            <w:shd w:val="clear" w:color="auto" w:fill="auto"/>
            <w:vAlign w:val="center"/>
            <w:hideMark/>
          </w:tcPr>
          <w:p w14:paraId="0F91DF53"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2030</w:t>
            </w:r>
          </w:p>
        </w:tc>
      </w:tr>
      <w:tr w:rsidR="003434F4" w:rsidRPr="00F760FB" w14:paraId="02A078FD" w14:textId="77777777" w:rsidTr="0030767B">
        <w:trPr>
          <w:trHeight w:val="340"/>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F71B"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25</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0B2A2"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Embalse Cabecera</w:t>
            </w:r>
          </w:p>
        </w:tc>
        <w:tc>
          <w:tcPr>
            <w:tcW w:w="2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B304"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Valparaíso/</w:t>
            </w:r>
            <w:r w:rsidRPr="00F760FB">
              <w:rPr>
                <w:rFonts w:ascii="Verdana" w:hAnsi="Verdana"/>
                <w:color w:val="000000"/>
                <w:lang w:val="es-ES"/>
              </w:rPr>
              <w:br/>
              <w:t>Aconcagua</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259D62D7" w14:textId="1926EB48" w:rsidR="003434F4" w:rsidRPr="000E015F" w:rsidRDefault="002E09E7"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5A966"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2030</w:t>
            </w:r>
          </w:p>
        </w:tc>
      </w:tr>
      <w:tr w:rsidR="003434F4" w:rsidRPr="00F760FB" w14:paraId="39490CFE" w14:textId="77777777" w:rsidTr="0030767B">
        <w:trPr>
          <w:trHeight w:val="340"/>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E2799" w14:textId="77777777" w:rsidR="003434F4" w:rsidRPr="00595D2A" w:rsidRDefault="003434F4" w:rsidP="00F23FEA">
            <w:pPr>
              <w:spacing w:before="40" w:after="40"/>
              <w:jc w:val="center"/>
              <w:rPr>
                <w:rFonts w:ascii="Verdana" w:hAnsi="Verdana"/>
                <w:b/>
                <w:lang w:val="es-ES"/>
              </w:rPr>
            </w:pPr>
            <w:r w:rsidRPr="00595D2A">
              <w:rPr>
                <w:rFonts w:ascii="Verdana" w:hAnsi="Verdana"/>
                <w:b/>
                <w:lang w:val="es-ES"/>
              </w:rPr>
              <w:t>26</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14:paraId="0E520070" w14:textId="77777777" w:rsidR="003434F4" w:rsidRPr="00595D2A" w:rsidRDefault="003434F4" w:rsidP="00F23FEA">
            <w:pPr>
              <w:spacing w:before="40" w:after="40"/>
              <w:rPr>
                <w:rFonts w:ascii="Verdana" w:hAnsi="Verdana"/>
                <w:b/>
                <w:bCs/>
                <w:lang w:val="es-ES"/>
              </w:rPr>
            </w:pPr>
            <w:r w:rsidRPr="00595D2A">
              <w:rPr>
                <w:rFonts w:ascii="Verdana" w:hAnsi="Verdana"/>
                <w:b/>
                <w:bCs/>
                <w:lang w:val="es-ES"/>
              </w:rPr>
              <w:t>Chillán</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7AE789B9" w14:textId="77777777" w:rsidR="003434F4" w:rsidRPr="00F760FB" w:rsidRDefault="003434F4" w:rsidP="00F23FEA">
            <w:pPr>
              <w:spacing w:before="40" w:after="40"/>
              <w:rPr>
                <w:rFonts w:ascii="Verdana" w:hAnsi="Verdana"/>
                <w:color w:val="000000"/>
                <w:lang w:val="es-ES"/>
              </w:rPr>
            </w:pPr>
            <w:r w:rsidRPr="00F760FB">
              <w:rPr>
                <w:rFonts w:ascii="Verdana" w:hAnsi="Verdana"/>
                <w:color w:val="000000"/>
                <w:lang w:val="es-ES"/>
              </w:rPr>
              <w:t>Ñuble/Chillán</w:t>
            </w:r>
          </w:p>
        </w:tc>
        <w:tc>
          <w:tcPr>
            <w:tcW w:w="1963" w:type="dxa"/>
            <w:tcBorders>
              <w:top w:val="single" w:sz="4" w:space="0" w:color="auto"/>
              <w:left w:val="nil"/>
              <w:bottom w:val="single" w:sz="4" w:space="0" w:color="auto"/>
              <w:right w:val="single" w:sz="4" w:space="0" w:color="auto"/>
            </w:tcBorders>
            <w:shd w:val="clear" w:color="auto" w:fill="auto"/>
            <w:vAlign w:val="center"/>
          </w:tcPr>
          <w:p w14:paraId="1F9B7186" w14:textId="7BEEF481" w:rsidR="003434F4" w:rsidRPr="000E015F" w:rsidRDefault="002E09E7" w:rsidP="00F23FEA">
            <w:pPr>
              <w:spacing w:before="40" w:after="40"/>
              <w:jc w:val="center"/>
              <w:rPr>
                <w:rFonts w:ascii="Verdana" w:hAnsi="Verdana"/>
                <w:color w:val="000000"/>
                <w:lang w:val="es-ES"/>
              </w:rPr>
            </w:pPr>
            <w:r>
              <w:rPr>
                <w:rFonts w:ascii="Verdana" w:hAnsi="Verdana"/>
                <w:color w:val="000000"/>
                <w:lang w:val="es-ES"/>
              </w:rPr>
              <w:t>0</w:t>
            </w:r>
          </w:p>
        </w:tc>
        <w:tc>
          <w:tcPr>
            <w:tcW w:w="2393" w:type="dxa"/>
            <w:tcBorders>
              <w:top w:val="single" w:sz="4" w:space="0" w:color="auto"/>
              <w:left w:val="nil"/>
              <w:bottom w:val="single" w:sz="4" w:space="0" w:color="auto"/>
              <w:right w:val="single" w:sz="4" w:space="0" w:color="auto"/>
            </w:tcBorders>
            <w:shd w:val="clear" w:color="auto" w:fill="auto"/>
            <w:vAlign w:val="center"/>
            <w:hideMark/>
          </w:tcPr>
          <w:p w14:paraId="295EEA23" w14:textId="77777777" w:rsidR="003434F4" w:rsidRPr="00F760FB" w:rsidRDefault="003434F4" w:rsidP="00F23FEA">
            <w:pPr>
              <w:spacing w:before="40" w:after="40"/>
              <w:jc w:val="center"/>
              <w:rPr>
                <w:rFonts w:ascii="Verdana" w:hAnsi="Verdana"/>
                <w:color w:val="000000"/>
                <w:lang w:val="es-ES"/>
              </w:rPr>
            </w:pPr>
            <w:r w:rsidRPr="00F760FB">
              <w:rPr>
                <w:rFonts w:ascii="Verdana" w:hAnsi="Verdana"/>
                <w:color w:val="000000"/>
                <w:lang w:val="es-ES"/>
              </w:rPr>
              <w:t>&gt; 2030</w:t>
            </w:r>
          </w:p>
        </w:tc>
      </w:tr>
      <w:tr w:rsidR="00F760FB" w:rsidRPr="00F760FB" w14:paraId="07B9D8D8" w14:textId="77777777" w:rsidTr="0030767B">
        <w:trPr>
          <w:trHeight w:val="340"/>
        </w:trPr>
        <w:tc>
          <w:tcPr>
            <w:tcW w:w="5871" w:type="dxa"/>
            <w:gridSpan w:val="3"/>
            <w:tcBorders>
              <w:top w:val="nil"/>
              <w:left w:val="single" w:sz="8" w:space="0" w:color="FFFFFF"/>
              <w:bottom w:val="single" w:sz="8" w:space="0" w:color="FFFFFF"/>
              <w:right w:val="single" w:sz="8" w:space="0" w:color="FFFFFF"/>
            </w:tcBorders>
            <w:shd w:val="clear" w:color="000000" w:fill="1F497D"/>
            <w:vAlign w:val="center"/>
            <w:hideMark/>
          </w:tcPr>
          <w:p w14:paraId="428442AA" w14:textId="77777777" w:rsidR="00F760FB" w:rsidRPr="00F760FB" w:rsidRDefault="00F760FB" w:rsidP="00F760FB">
            <w:pPr>
              <w:jc w:val="right"/>
              <w:rPr>
                <w:rFonts w:ascii="Verdana" w:hAnsi="Verdana"/>
                <w:b/>
                <w:bCs/>
                <w:color w:val="FFFFFF"/>
                <w:lang w:val="es-ES"/>
              </w:rPr>
            </w:pPr>
            <w:r w:rsidRPr="00F760FB">
              <w:rPr>
                <w:rFonts w:ascii="Verdana" w:hAnsi="Verdana"/>
                <w:b/>
                <w:bCs/>
                <w:color w:val="FFFFFF"/>
                <w:lang w:val="es-ES"/>
              </w:rPr>
              <w:t>TOTAL 26 OBRAS</w:t>
            </w:r>
          </w:p>
        </w:tc>
        <w:tc>
          <w:tcPr>
            <w:tcW w:w="1963" w:type="dxa"/>
            <w:tcBorders>
              <w:top w:val="nil"/>
              <w:left w:val="nil"/>
              <w:bottom w:val="nil"/>
              <w:right w:val="nil"/>
            </w:tcBorders>
            <w:shd w:val="clear" w:color="auto" w:fill="auto"/>
            <w:vAlign w:val="center"/>
            <w:hideMark/>
          </w:tcPr>
          <w:p w14:paraId="66FE5E27" w14:textId="77777777" w:rsidR="00F760FB" w:rsidRPr="00F760FB" w:rsidRDefault="00F760FB" w:rsidP="000E015F">
            <w:pPr>
              <w:jc w:val="center"/>
              <w:rPr>
                <w:rFonts w:ascii="Calibri" w:hAnsi="Calibri"/>
                <w:color w:val="000000"/>
                <w:lang w:val="es-ES"/>
              </w:rPr>
            </w:pPr>
          </w:p>
        </w:tc>
        <w:tc>
          <w:tcPr>
            <w:tcW w:w="2393" w:type="dxa"/>
            <w:tcBorders>
              <w:top w:val="nil"/>
              <w:left w:val="nil"/>
              <w:bottom w:val="nil"/>
              <w:right w:val="nil"/>
            </w:tcBorders>
            <w:shd w:val="clear" w:color="auto" w:fill="auto"/>
            <w:vAlign w:val="bottom"/>
            <w:hideMark/>
          </w:tcPr>
          <w:p w14:paraId="476EFBAC" w14:textId="77777777" w:rsidR="00F760FB" w:rsidRPr="00F760FB" w:rsidRDefault="00F760FB" w:rsidP="00F760FB">
            <w:pPr>
              <w:rPr>
                <w:rFonts w:ascii="Calibri" w:hAnsi="Calibri"/>
                <w:color w:val="000000"/>
                <w:lang w:val="es-ES"/>
              </w:rPr>
            </w:pPr>
          </w:p>
        </w:tc>
      </w:tr>
    </w:tbl>
    <w:p w14:paraId="7FC08465" w14:textId="6CA9B84F" w:rsidR="00F760FB" w:rsidRDefault="003434F4" w:rsidP="003434F4">
      <w:pPr>
        <w:tabs>
          <w:tab w:val="left" w:pos="6384"/>
        </w:tabs>
        <w:spacing w:line="276" w:lineRule="auto"/>
        <w:jc w:val="both"/>
        <w:rPr>
          <w:rFonts w:ascii="Verdana" w:hAnsi="Verdana" w:cs="Arial"/>
        </w:rPr>
      </w:pPr>
      <w:r>
        <w:rPr>
          <w:rFonts w:ascii="Verdana" w:hAnsi="Verdana" w:cs="Arial"/>
        </w:rPr>
        <w:tab/>
      </w:r>
    </w:p>
    <w:p w14:paraId="46108D1C" w14:textId="04023FEB" w:rsidR="005402EA" w:rsidRDefault="005402EA" w:rsidP="003434F4">
      <w:pPr>
        <w:tabs>
          <w:tab w:val="left" w:pos="6384"/>
        </w:tabs>
        <w:spacing w:line="276" w:lineRule="auto"/>
        <w:jc w:val="both"/>
        <w:rPr>
          <w:rFonts w:ascii="Verdana" w:hAnsi="Verdana" w:cs="Arial"/>
        </w:rPr>
      </w:pPr>
    </w:p>
    <w:p w14:paraId="7C921CDF" w14:textId="77777777" w:rsidR="005402EA" w:rsidRDefault="005402EA" w:rsidP="005402EA">
      <w:pPr>
        <w:spacing w:after="120"/>
        <w:jc w:val="center"/>
        <w:rPr>
          <w:rFonts w:asciiTheme="minorHAnsi" w:eastAsiaTheme="minorHAnsi" w:hAnsiTheme="minorHAnsi" w:cstheme="minorBidi"/>
          <w:b/>
          <w:sz w:val="22"/>
          <w:szCs w:val="22"/>
          <w:lang w:val="es-ES" w:eastAsia="en-US"/>
        </w:rPr>
      </w:pPr>
      <w:r>
        <w:rPr>
          <w:rFonts w:asciiTheme="minorHAnsi" w:eastAsiaTheme="minorHAnsi" w:hAnsiTheme="minorHAnsi" w:cstheme="minorBidi"/>
          <w:b/>
          <w:sz w:val="22"/>
          <w:szCs w:val="22"/>
          <w:lang w:val="es-ES" w:eastAsia="en-US"/>
        </w:rPr>
        <w:lastRenderedPageBreak/>
        <w:t>Minuta: Concesión Embalse La Punilla</w:t>
      </w:r>
    </w:p>
    <w:p w14:paraId="0C6A9D96" w14:textId="77777777" w:rsidR="005402EA" w:rsidRDefault="005402EA" w:rsidP="005402EA">
      <w:pPr>
        <w:spacing w:after="120"/>
        <w:jc w:val="center"/>
        <w:rPr>
          <w:rFonts w:asciiTheme="minorHAnsi" w:eastAsiaTheme="minorHAnsi" w:hAnsiTheme="minorHAnsi" w:cstheme="minorBidi"/>
          <w:b/>
          <w:sz w:val="22"/>
          <w:szCs w:val="22"/>
          <w:lang w:val="es-ES" w:eastAsia="en-US"/>
        </w:rPr>
      </w:pPr>
      <w:r>
        <w:rPr>
          <w:rFonts w:asciiTheme="minorHAnsi" w:eastAsiaTheme="minorHAnsi" w:hAnsiTheme="minorHAnsi" w:cstheme="minorBidi"/>
          <w:b/>
          <w:sz w:val="22"/>
          <w:szCs w:val="22"/>
          <w:lang w:val="es-ES" w:eastAsia="en-US"/>
        </w:rPr>
        <w:t xml:space="preserve">División de Construcción </w:t>
      </w:r>
    </w:p>
    <w:p w14:paraId="712C3FA8" w14:textId="77777777" w:rsidR="005402EA" w:rsidRDefault="005402EA" w:rsidP="005402EA">
      <w:pPr>
        <w:spacing w:after="120"/>
        <w:jc w:val="center"/>
        <w:rPr>
          <w:rFonts w:ascii="Verdana" w:hAnsi="Verdana" w:cs="Arial"/>
          <w:b/>
        </w:rPr>
      </w:pPr>
      <w:r>
        <w:rPr>
          <w:rFonts w:asciiTheme="minorHAnsi" w:eastAsiaTheme="minorHAnsi" w:hAnsiTheme="minorHAnsi" w:cstheme="minorBidi"/>
          <w:b/>
          <w:sz w:val="22"/>
          <w:szCs w:val="22"/>
          <w:lang w:val="es-ES" w:eastAsia="en-US"/>
        </w:rPr>
        <w:t>Octubre 2021</w:t>
      </w:r>
    </w:p>
    <w:tbl>
      <w:tblPr>
        <w:tblpPr w:leftFromText="142" w:rightFromText="142" w:vertAnchor="text" w:horzAnchor="margin" w:tblpXSpec="center" w:tblpY="1"/>
        <w:tblOverlap w:val="neve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3"/>
        <w:gridCol w:w="7667"/>
      </w:tblGrid>
      <w:tr w:rsidR="005402EA" w14:paraId="03FE25B6" w14:textId="77777777" w:rsidTr="005402EA">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9930AC3" w14:textId="77777777" w:rsidR="005402EA" w:rsidRDefault="005402EA">
            <w:pPr>
              <w:rPr>
                <w:rFonts w:ascii="Calibri" w:hAnsi="Calibri" w:cs="Calibri"/>
                <w:b/>
                <w:bCs/>
                <w:color w:val="000000"/>
                <w:lang w:val="es-CL" w:eastAsia="es-CL"/>
              </w:rPr>
            </w:pPr>
            <w:r>
              <w:rPr>
                <w:rFonts w:ascii="Calibri" w:hAnsi="Calibri" w:cs="Calibri"/>
                <w:b/>
                <w:bCs/>
                <w:color w:val="000000"/>
                <w:lang w:val="es-CL" w:eastAsia="es-CL"/>
              </w:rPr>
              <w:t>Región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2910C910" w14:textId="77777777" w:rsidR="005402EA" w:rsidRDefault="005402EA">
            <w:pPr>
              <w:spacing w:before="20" w:after="20"/>
              <w:rPr>
                <w:rFonts w:ascii="Calibri" w:hAnsi="Calibri" w:cs="Calibri"/>
                <w:color w:val="000000"/>
                <w:lang w:val="es-CL" w:eastAsia="es-CL"/>
              </w:rPr>
            </w:pPr>
            <w:r>
              <w:rPr>
                <w:rFonts w:ascii="Calibri" w:hAnsi="Calibri" w:cs="Calibri"/>
              </w:rPr>
              <w:t>Región del Ñuble</w:t>
            </w:r>
          </w:p>
        </w:tc>
      </w:tr>
      <w:tr w:rsidR="005402EA" w14:paraId="274EA71F" w14:textId="77777777" w:rsidTr="005402EA">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7F961C0" w14:textId="77777777" w:rsidR="005402EA" w:rsidRDefault="005402EA">
            <w:pPr>
              <w:rPr>
                <w:rFonts w:ascii="Calibri" w:hAnsi="Calibri" w:cs="Calibri"/>
                <w:b/>
                <w:bCs/>
                <w:color w:val="000000"/>
                <w:lang w:val="es-CL" w:eastAsia="es-CL"/>
              </w:rPr>
            </w:pPr>
            <w:r>
              <w:rPr>
                <w:rFonts w:ascii="Calibri" w:hAnsi="Calibri" w:cs="Calibri"/>
                <w:b/>
                <w:bCs/>
                <w:color w:val="000000"/>
                <w:lang w:val="es-CL" w:eastAsia="es-CL"/>
              </w:rPr>
              <w:t>Nombre proyecto</w:t>
            </w:r>
          </w:p>
        </w:tc>
        <w:tc>
          <w:tcPr>
            <w:tcW w:w="7666" w:type="dxa"/>
            <w:tcBorders>
              <w:top w:val="single" w:sz="4" w:space="0" w:color="auto"/>
              <w:left w:val="single" w:sz="4" w:space="0" w:color="auto"/>
              <w:bottom w:val="single" w:sz="4" w:space="0" w:color="auto"/>
              <w:right w:val="single" w:sz="4" w:space="0" w:color="auto"/>
            </w:tcBorders>
            <w:vAlign w:val="center"/>
            <w:hideMark/>
          </w:tcPr>
          <w:p w14:paraId="4527EA27" w14:textId="77777777" w:rsidR="005402EA" w:rsidRDefault="005402EA">
            <w:pPr>
              <w:spacing w:before="20" w:after="20"/>
              <w:rPr>
                <w:rFonts w:ascii="Calibri" w:hAnsi="Calibri" w:cs="Calibri"/>
                <w:color w:val="000000"/>
                <w:lang w:val="es-CR" w:eastAsia="es-CL"/>
              </w:rPr>
            </w:pPr>
            <w:r>
              <w:rPr>
                <w:rFonts w:ascii="Calibri" w:hAnsi="Calibri" w:cs="Calibri"/>
              </w:rPr>
              <w:t>Concesión Embalse La Punilla, XVI Región.</w:t>
            </w:r>
          </w:p>
        </w:tc>
      </w:tr>
      <w:tr w:rsidR="005402EA" w14:paraId="55B86CC3" w14:textId="77777777" w:rsidTr="005402EA">
        <w:trPr>
          <w:trHeight w:val="499"/>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0F6E18A5" w14:textId="77777777" w:rsidR="005402EA" w:rsidRDefault="005402EA">
            <w:pPr>
              <w:spacing w:before="100" w:beforeAutospacing="1" w:after="100" w:afterAutospacing="1" w:line="240" w:lineRule="exact"/>
              <w:rPr>
                <w:rFonts w:ascii="Calibri" w:hAnsi="Calibri" w:cs="Calibri"/>
                <w:b/>
                <w:bCs/>
                <w:color w:val="000000"/>
                <w:lang w:val="es-CL" w:eastAsia="es-CL"/>
              </w:rPr>
            </w:pPr>
            <w:r>
              <w:rPr>
                <w:rFonts w:ascii="Calibri" w:hAnsi="Calibri" w:cs="Calibri"/>
                <w:b/>
                <w:bCs/>
                <w:color w:val="000000"/>
                <w:lang w:val="es-CL" w:eastAsia="es-CL"/>
              </w:rPr>
              <w:t>Provincia</w:t>
            </w:r>
          </w:p>
        </w:tc>
        <w:tc>
          <w:tcPr>
            <w:tcW w:w="7666" w:type="dxa"/>
            <w:tcBorders>
              <w:top w:val="single" w:sz="4" w:space="0" w:color="auto"/>
              <w:left w:val="single" w:sz="4" w:space="0" w:color="auto"/>
              <w:bottom w:val="single" w:sz="4" w:space="0" w:color="auto"/>
              <w:right w:val="single" w:sz="4" w:space="0" w:color="auto"/>
            </w:tcBorders>
            <w:vAlign w:val="center"/>
            <w:hideMark/>
          </w:tcPr>
          <w:p w14:paraId="0DB43741" w14:textId="77777777" w:rsidR="005402EA" w:rsidRDefault="005402EA">
            <w:pPr>
              <w:spacing w:before="100" w:beforeAutospacing="1" w:after="100" w:afterAutospacing="1" w:line="240" w:lineRule="exact"/>
              <w:rPr>
                <w:rFonts w:ascii="Calibri" w:hAnsi="Calibri" w:cs="Calibri"/>
                <w:color w:val="000000"/>
                <w:lang w:val="es-CL" w:eastAsia="es-CL"/>
              </w:rPr>
            </w:pPr>
            <w:r>
              <w:rPr>
                <w:rFonts w:ascii="Calibri" w:hAnsi="Calibri" w:cs="Calibri"/>
              </w:rPr>
              <w:t>Punilla.</w:t>
            </w:r>
          </w:p>
        </w:tc>
      </w:tr>
      <w:tr w:rsidR="005402EA" w14:paraId="416960CC" w14:textId="77777777" w:rsidTr="005402EA">
        <w:trPr>
          <w:trHeight w:val="268"/>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F315EDE" w14:textId="77777777" w:rsidR="005402EA" w:rsidRDefault="005402EA">
            <w:pPr>
              <w:rPr>
                <w:rFonts w:ascii="Calibri" w:hAnsi="Calibri" w:cs="Calibri"/>
                <w:b/>
                <w:bCs/>
                <w:color w:val="000000"/>
                <w:lang w:val="es-CL" w:eastAsia="es-CL"/>
              </w:rPr>
            </w:pPr>
            <w:r>
              <w:rPr>
                <w:rFonts w:ascii="Calibri" w:hAnsi="Calibri" w:cs="Calibri"/>
                <w:b/>
                <w:bCs/>
                <w:color w:val="000000"/>
                <w:lang w:val="es-CL" w:eastAsia="es-CL"/>
              </w:rPr>
              <w:t>Plazo de la concesión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44111EF3" w14:textId="77777777" w:rsidR="005402EA" w:rsidRDefault="005402EA">
            <w:pPr>
              <w:rPr>
                <w:rFonts w:ascii="Calibri" w:hAnsi="Calibri" w:cs="Calibri"/>
              </w:rPr>
            </w:pPr>
            <w:r>
              <w:rPr>
                <w:rFonts w:ascii="Calibri" w:hAnsi="Calibri" w:cs="Calibri"/>
              </w:rPr>
              <w:t>Inicio concesión: 22 de junio de 2016.</w:t>
            </w:r>
          </w:p>
          <w:p w14:paraId="5FDD21DF" w14:textId="77777777" w:rsidR="005402EA" w:rsidRDefault="005402EA">
            <w:pPr>
              <w:rPr>
                <w:rFonts w:ascii="Calibri" w:hAnsi="Calibri" w:cs="Calibri"/>
                <w:color w:val="000000"/>
                <w:lang w:val="es-CL" w:eastAsia="es-CL"/>
              </w:rPr>
            </w:pPr>
            <w:r>
              <w:rPr>
                <w:rFonts w:ascii="Calibri" w:hAnsi="Calibri" w:cs="Calibri"/>
              </w:rPr>
              <w:t>Término de la concesión: En proceso de Extinción. DS N°154, de fecha 19 de agosto de 2021, que aprueba Convenio de Extinción se encuentra tramitado y resta su Publicación en el Diario Oficial.</w:t>
            </w:r>
          </w:p>
        </w:tc>
      </w:tr>
      <w:tr w:rsidR="005402EA" w14:paraId="2979389B" w14:textId="77777777" w:rsidTr="005402EA">
        <w:trPr>
          <w:trHeight w:val="539"/>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02B34476" w14:textId="77777777" w:rsidR="005402EA" w:rsidRDefault="005402EA">
            <w:pPr>
              <w:rPr>
                <w:rFonts w:ascii="Calibri" w:hAnsi="Calibri" w:cs="Calibri"/>
                <w:b/>
                <w:bCs/>
                <w:color w:val="000000"/>
                <w:lang w:val="es-CL" w:eastAsia="es-CL"/>
              </w:rPr>
            </w:pPr>
            <w:r>
              <w:rPr>
                <w:rFonts w:ascii="Calibri" w:hAnsi="Calibri" w:cs="Calibri"/>
                <w:b/>
                <w:bCs/>
                <w:color w:val="000000"/>
                <w:lang w:val="es-CL" w:eastAsia="es-CL"/>
              </w:rPr>
              <w:t>Presupuesto oficial</w:t>
            </w:r>
          </w:p>
        </w:tc>
        <w:tc>
          <w:tcPr>
            <w:tcW w:w="7666" w:type="dxa"/>
            <w:tcBorders>
              <w:top w:val="single" w:sz="4" w:space="0" w:color="auto"/>
              <w:left w:val="single" w:sz="4" w:space="0" w:color="auto"/>
              <w:bottom w:val="single" w:sz="4" w:space="0" w:color="auto"/>
              <w:right w:val="single" w:sz="4" w:space="0" w:color="auto"/>
            </w:tcBorders>
            <w:vAlign w:val="center"/>
            <w:hideMark/>
          </w:tcPr>
          <w:p w14:paraId="325607E2" w14:textId="77777777" w:rsidR="005402EA" w:rsidRDefault="005402EA">
            <w:pPr>
              <w:spacing w:before="20" w:after="20"/>
              <w:rPr>
                <w:rFonts w:ascii="Calibri" w:hAnsi="Calibri" w:cs="Calibri"/>
                <w:color w:val="000000"/>
                <w:lang w:val="es-CL" w:eastAsia="es-CL"/>
              </w:rPr>
            </w:pPr>
            <w:r>
              <w:rPr>
                <w:rFonts w:ascii="Calibri" w:hAnsi="Calibri" w:cs="Calibri"/>
              </w:rPr>
              <w:t>(UF) 9.410.000</w:t>
            </w:r>
          </w:p>
        </w:tc>
      </w:tr>
      <w:tr w:rsidR="005402EA" w14:paraId="51C892C2" w14:textId="77777777" w:rsidTr="005402EA">
        <w:trPr>
          <w:trHeight w:val="99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A7D5213" w14:textId="77777777" w:rsidR="005402EA" w:rsidRDefault="005402EA">
            <w:pPr>
              <w:spacing w:before="20" w:after="20"/>
              <w:rPr>
                <w:rFonts w:ascii="Calibri" w:hAnsi="Calibri" w:cs="Calibri"/>
                <w:b/>
                <w:bCs/>
                <w:color w:val="000000"/>
                <w:lang w:val="es-CL" w:eastAsia="es-CL"/>
              </w:rPr>
            </w:pPr>
            <w:r>
              <w:rPr>
                <w:rFonts w:ascii="Calibri" w:hAnsi="Calibri" w:cs="Calibri"/>
                <w:b/>
                <w:bCs/>
                <w:color w:val="000000"/>
                <w:lang w:val="es-CL" w:eastAsia="es-CL"/>
              </w:rPr>
              <w:t xml:space="preserve">Sociedad Concesionaria </w:t>
            </w:r>
          </w:p>
        </w:tc>
        <w:tc>
          <w:tcPr>
            <w:tcW w:w="7666" w:type="dxa"/>
            <w:tcBorders>
              <w:top w:val="single" w:sz="4" w:space="0" w:color="auto"/>
              <w:left w:val="single" w:sz="4" w:space="0" w:color="auto"/>
              <w:bottom w:val="single" w:sz="4" w:space="0" w:color="auto"/>
              <w:right w:val="single" w:sz="4" w:space="0" w:color="auto"/>
            </w:tcBorders>
            <w:vAlign w:val="center"/>
            <w:hideMark/>
          </w:tcPr>
          <w:p w14:paraId="24C26C7C" w14:textId="77777777" w:rsidR="005402EA" w:rsidRDefault="005402EA">
            <w:pPr>
              <w:rPr>
                <w:rFonts w:cstheme="minorHAnsi"/>
                <w:color w:val="000000"/>
                <w:szCs w:val="24"/>
                <w:lang w:eastAsia="es-CL"/>
              </w:rPr>
            </w:pPr>
            <w:r>
              <w:rPr>
                <w:rFonts w:ascii="Calibri" w:hAnsi="Calibri" w:cs="Calibri"/>
              </w:rPr>
              <w:t>Sociedad Concesionaria Aguas de Punilla S.A.</w:t>
            </w:r>
          </w:p>
        </w:tc>
      </w:tr>
      <w:tr w:rsidR="005402EA" w14:paraId="0BB608BF" w14:textId="77777777" w:rsidTr="005402EA">
        <w:trPr>
          <w:trHeight w:val="177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6B301C8" w14:textId="77777777" w:rsidR="005402EA" w:rsidRDefault="005402EA">
            <w:pPr>
              <w:spacing w:before="20" w:after="20"/>
              <w:rPr>
                <w:rFonts w:ascii="Calibri" w:hAnsi="Calibri" w:cs="Calibri"/>
                <w:b/>
                <w:bCs/>
                <w:color w:val="000000"/>
                <w:lang w:val="es-CL" w:eastAsia="es-CL"/>
              </w:rPr>
            </w:pPr>
            <w:r>
              <w:rPr>
                <w:rFonts w:ascii="Calibri" w:hAnsi="Calibri" w:cs="Calibri"/>
                <w:b/>
                <w:bCs/>
                <w:color w:val="000000"/>
                <w:lang w:val="es-CL" w:eastAsia="es-CL"/>
              </w:rPr>
              <w:t>Descripción General</w:t>
            </w:r>
          </w:p>
        </w:tc>
        <w:tc>
          <w:tcPr>
            <w:tcW w:w="7666" w:type="dxa"/>
            <w:tcBorders>
              <w:top w:val="single" w:sz="4" w:space="0" w:color="auto"/>
              <w:left w:val="single" w:sz="4" w:space="0" w:color="auto"/>
              <w:bottom w:val="single" w:sz="4" w:space="0" w:color="auto"/>
              <w:right w:val="single" w:sz="4" w:space="0" w:color="auto"/>
            </w:tcBorders>
            <w:vAlign w:val="center"/>
            <w:hideMark/>
          </w:tcPr>
          <w:p w14:paraId="6C581F4F" w14:textId="77777777" w:rsidR="005402EA" w:rsidRDefault="005402EA">
            <w:pPr>
              <w:jc w:val="both"/>
              <w:rPr>
                <w:rFonts w:ascii="Calibri" w:hAnsi="Calibri" w:cs="Calibri"/>
                <w:lang w:val="es-CL" w:eastAsia="es-CL"/>
              </w:rPr>
            </w:pPr>
            <w:r>
              <w:rPr>
                <w:rFonts w:ascii="Calibri" w:hAnsi="Calibri" w:cs="Calibri"/>
              </w:rPr>
              <w:t xml:space="preserve">El Proyecto denominado “Concesión de la Obra Pública Embalse La Punilla” consiste en la construcción, mantención y explotación de un Embalse de regulación que permitirá asegurar y extender el riego en el valle del Río Ñuble, en las comunas de Chillán, Ñiquén, San Carlos y San Nicolás, y potencialmente en las comunas de San Fabián y Coihueco. Además, en forma paralela, considera la construcción de una Central Hidroeléctrica que alcanzaría a los 525 GWh, como promedio anual, y una capacidad de 94 MW a pie de presa. La obra consiste en la construcción de una Presa tipo CFRD (Concrete </w:t>
            </w:r>
            <w:proofErr w:type="spellStart"/>
            <w:r>
              <w:rPr>
                <w:rFonts w:ascii="Calibri" w:hAnsi="Calibri" w:cs="Calibri"/>
              </w:rPr>
              <w:t>Face</w:t>
            </w:r>
            <w:proofErr w:type="spellEnd"/>
            <w:r>
              <w:rPr>
                <w:rFonts w:ascii="Calibri" w:hAnsi="Calibri" w:cs="Calibri"/>
              </w:rPr>
              <w:t xml:space="preserve"> </w:t>
            </w:r>
            <w:proofErr w:type="spellStart"/>
            <w:r>
              <w:rPr>
                <w:rFonts w:ascii="Calibri" w:hAnsi="Calibri" w:cs="Calibri"/>
              </w:rPr>
              <w:t>Rockfill</w:t>
            </w:r>
            <w:proofErr w:type="spellEnd"/>
            <w:r>
              <w:rPr>
                <w:rFonts w:ascii="Calibri" w:hAnsi="Calibri" w:cs="Calibri"/>
              </w:rPr>
              <w:t xml:space="preserve"> </w:t>
            </w:r>
            <w:proofErr w:type="spellStart"/>
            <w:r>
              <w:rPr>
                <w:rFonts w:ascii="Calibri" w:hAnsi="Calibri" w:cs="Calibri"/>
              </w:rPr>
              <w:t>Dam</w:t>
            </w:r>
            <w:proofErr w:type="spellEnd"/>
            <w:r>
              <w:rPr>
                <w:rFonts w:ascii="Calibri" w:hAnsi="Calibri" w:cs="Calibri"/>
              </w:rPr>
              <w:t xml:space="preserve">), que en términos simples se define como un muro de enrocados y/o gravas permeables compactado con una pantalla de hormigón de entre 0,3 y 0,66 metros de espesor, ubicada en el paramento de aguas arriba. La pantalla descansará en su parte inferior sobre una losa de hormigón armado que se apoya sobre la roca. Tendrá una altura de muro aproximada de 137 metros, un volumen de almacenamiento total de 625 millones de m3 (de los cuales, 600 millones de m3 serán útiles) y 1.700 </w:t>
            </w:r>
            <w:proofErr w:type="spellStart"/>
            <w:r>
              <w:rPr>
                <w:rFonts w:ascii="Calibri" w:hAnsi="Calibri" w:cs="Calibri"/>
              </w:rPr>
              <w:t>há</w:t>
            </w:r>
            <w:proofErr w:type="spellEnd"/>
            <w:r>
              <w:rPr>
                <w:rFonts w:ascii="Calibri" w:hAnsi="Calibri" w:cs="Calibri"/>
              </w:rPr>
              <w:t xml:space="preserve"> de superficie inundada.</w:t>
            </w:r>
          </w:p>
        </w:tc>
      </w:tr>
      <w:tr w:rsidR="005402EA" w14:paraId="7BC16905" w14:textId="77777777" w:rsidTr="005402EA">
        <w:trPr>
          <w:trHeight w:val="99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617A425B" w14:textId="77777777" w:rsidR="005402EA" w:rsidRDefault="005402EA">
            <w:pPr>
              <w:spacing w:before="20" w:after="20"/>
              <w:rPr>
                <w:rFonts w:ascii="Calibri" w:hAnsi="Calibri" w:cs="Calibri"/>
                <w:b/>
                <w:bCs/>
                <w:color w:val="000000"/>
                <w:lang w:val="es-CL" w:eastAsia="es-CL"/>
              </w:rPr>
            </w:pPr>
            <w:r>
              <w:rPr>
                <w:rFonts w:ascii="Calibri" w:hAnsi="Calibri" w:cs="Calibri"/>
                <w:b/>
                <w:bCs/>
                <w:color w:val="000000"/>
                <w:lang w:val="es-CL" w:eastAsia="es-CL"/>
              </w:rPr>
              <w:t>Beneficios del Proyecto</w:t>
            </w:r>
          </w:p>
        </w:tc>
        <w:tc>
          <w:tcPr>
            <w:tcW w:w="7666" w:type="dxa"/>
            <w:tcBorders>
              <w:top w:val="single" w:sz="4" w:space="0" w:color="auto"/>
              <w:left w:val="single" w:sz="4" w:space="0" w:color="auto"/>
              <w:bottom w:val="single" w:sz="4" w:space="0" w:color="auto"/>
              <w:right w:val="single" w:sz="4" w:space="0" w:color="auto"/>
            </w:tcBorders>
            <w:vAlign w:val="center"/>
          </w:tcPr>
          <w:p w14:paraId="2A507507" w14:textId="77777777" w:rsidR="005402EA" w:rsidRDefault="005402EA">
            <w:pPr>
              <w:suppressAutoHyphens/>
              <w:jc w:val="both"/>
              <w:rPr>
                <w:rFonts w:ascii="Calibri" w:hAnsi="Calibri" w:cs="Calibri"/>
              </w:rPr>
            </w:pPr>
            <w:r>
              <w:rPr>
                <w:rFonts w:ascii="Calibri" w:hAnsi="Calibri" w:cs="Calibri"/>
              </w:rPr>
              <w:t>Actualmente existen aproximadamente 60.000 hectáreas con factibilidad de riego (sectores de las comunas de San Carlos, Chillán, Ñiquén, San Nicolás y Coihueco, en la reciente creada Región de Ñuble), pero producto de la disponibilidad natural del río sólo es posible regar con mucho esfuerzo y eficiencia un tercio de dicha superficie potencial, es decir, unas 20.000 hectáreas. Esta obra permitirá aumentar la seguridad de riego de las actuales 60.000 hectáreas con factibilidad de riego y permitirá la incorporación de 10.000 nuevas hectáreas, para posibilitar el riego a un total de aprox. 70.000 hectáreas con al menos un 85% de seguridad de riego. Por lo anterior, la materialización del proyecto permitirá que la actividad agrícola cambie en cuanto al tipo de cultivo y entregue nuevas oportunidades de cultivo, generando un fuerte impulso a comunas como San Carlos, Chillán, Ñiquén, San Nicolás, Coihueco y potencialmente a San Fabián.</w:t>
            </w:r>
          </w:p>
          <w:p w14:paraId="6BA64A75" w14:textId="77777777" w:rsidR="005402EA" w:rsidRDefault="005402EA">
            <w:pPr>
              <w:suppressAutoHyphens/>
              <w:jc w:val="both"/>
            </w:pPr>
          </w:p>
          <w:p w14:paraId="65835E31" w14:textId="77777777" w:rsidR="005402EA" w:rsidRDefault="005402EA">
            <w:pPr>
              <w:suppressAutoHyphens/>
              <w:jc w:val="both"/>
              <w:rPr>
                <w:rFonts w:cs="Arial"/>
              </w:rPr>
            </w:pPr>
            <w:r>
              <w:rPr>
                <w:rFonts w:ascii="Calibri" w:hAnsi="Calibri" w:cs="Calibri"/>
              </w:rPr>
              <w:t>Es importante recalcar que la actividad agrícola, es una de las actividades socioeconómicas más importantes de la nueva Región de Ñuble, la cual se verá triplicada con la construcción del embalse considerando: - El aumento de la superficie efectivamente regada. - El aumento de servicios de transporte y arriendo de maquinaria agrícola. - El aumento de venta de insumos y asociados. - El aumento de empleos disponibles por el incremento de superficies (permanentes y temporales). - Detener la migración del pequeño agricultor a la ciudad, situación que cada vez es más recurrente. - En general un desarrollo transversal del sector agropecuario y un aumento de empleos calificados (técnicos, ingenieros, etc.). Otros beneficios importantes del futuro Embalse conciernen a: a) regular las crecidas del Río Ñuble, evitando los daños y costos involucrados, que se originan por inundaciones en las riberas del río, lo cual afecta directamente a los poblados de las riberas. b) fuente de acumulación de agua para el enfrentamiento de incendios forestales de la zona. c) desarrollo de otras actividades comerciales, como la turística (Compensaciones de forestación, Área de Protección para el Huemul y la Biodiversidad). Además, el embalse La Punilla generará beneficios al sector eléctrico, ya que se estima que podría aportar aproximadamente 470 GWh anuales al Sistema Interconectado Central (SIC).</w:t>
            </w:r>
          </w:p>
        </w:tc>
      </w:tr>
      <w:tr w:rsidR="005402EA" w14:paraId="763966C3" w14:textId="77777777" w:rsidTr="005402EA">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tcPr>
          <w:p w14:paraId="45E6E23F" w14:textId="77777777" w:rsidR="005402EA" w:rsidRDefault="005402EA">
            <w:pPr>
              <w:rPr>
                <w:rFonts w:ascii="Calibri" w:hAnsi="Calibri" w:cs="Calibri"/>
                <w:b/>
                <w:bCs/>
                <w:color w:val="000000"/>
                <w:lang w:val="es-CL" w:eastAsia="es-CL"/>
              </w:rPr>
            </w:pPr>
          </w:p>
          <w:p w14:paraId="4582676C" w14:textId="77777777" w:rsidR="005402EA" w:rsidRDefault="005402EA">
            <w:pPr>
              <w:rPr>
                <w:rFonts w:ascii="Calibri" w:hAnsi="Calibri" w:cs="Calibri"/>
                <w:b/>
                <w:bCs/>
                <w:color w:val="000000"/>
                <w:lang w:val="es-CL" w:eastAsia="es-CL"/>
              </w:rPr>
            </w:pPr>
          </w:p>
          <w:p w14:paraId="36C68096" w14:textId="77777777" w:rsidR="005402EA" w:rsidRDefault="005402EA">
            <w:pPr>
              <w:rPr>
                <w:rFonts w:ascii="Calibri" w:hAnsi="Calibri" w:cs="Calibri"/>
                <w:b/>
                <w:bCs/>
                <w:color w:val="000000"/>
                <w:lang w:val="es-CL" w:eastAsia="es-CL"/>
              </w:rPr>
            </w:pPr>
          </w:p>
          <w:p w14:paraId="783FD8F9" w14:textId="77777777" w:rsidR="005402EA" w:rsidRDefault="005402EA">
            <w:pPr>
              <w:rPr>
                <w:rFonts w:ascii="Calibri" w:hAnsi="Calibri" w:cs="Calibri"/>
                <w:b/>
                <w:bCs/>
                <w:color w:val="000000"/>
                <w:lang w:val="es-CL" w:eastAsia="es-CL"/>
              </w:rPr>
            </w:pPr>
          </w:p>
          <w:p w14:paraId="4473CA88" w14:textId="77777777" w:rsidR="005402EA" w:rsidRDefault="005402EA">
            <w:pPr>
              <w:rPr>
                <w:rFonts w:ascii="Calibri" w:hAnsi="Calibri" w:cs="Calibri"/>
                <w:b/>
                <w:bCs/>
                <w:color w:val="000000"/>
                <w:lang w:val="es-CL" w:eastAsia="es-CL"/>
              </w:rPr>
            </w:pPr>
          </w:p>
          <w:p w14:paraId="292DA9D6" w14:textId="77777777" w:rsidR="005402EA" w:rsidRDefault="005402EA">
            <w:pPr>
              <w:rPr>
                <w:rFonts w:ascii="Calibri" w:hAnsi="Calibri" w:cs="Calibri"/>
                <w:b/>
                <w:bCs/>
                <w:color w:val="000000"/>
                <w:lang w:val="es-CL" w:eastAsia="es-CL"/>
              </w:rPr>
            </w:pPr>
          </w:p>
          <w:p w14:paraId="57D935D5" w14:textId="77777777" w:rsidR="005402EA" w:rsidRDefault="005402EA">
            <w:pPr>
              <w:rPr>
                <w:rFonts w:ascii="Calibri" w:hAnsi="Calibri" w:cs="Calibri"/>
                <w:b/>
                <w:bCs/>
                <w:color w:val="000000"/>
                <w:lang w:val="es-CL" w:eastAsia="es-CL"/>
              </w:rPr>
            </w:pPr>
          </w:p>
          <w:p w14:paraId="42F303F8" w14:textId="77777777" w:rsidR="005402EA" w:rsidRDefault="005402EA">
            <w:pPr>
              <w:rPr>
                <w:rFonts w:ascii="Calibri" w:hAnsi="Calibri" w:cs="Calibri"/>
                <w:b/>
                <w:bCs/>
                <w:color w:val="000000"/>
                <w:lang w:val="es-CL" w:eastAsia="es-CL"/>
              </w:rPr>
            </w:pPr>
          </w:p>
          <w:p w14:paraId="7FEC27E4" w14:textId="77777777" w:rsidR="005402EA" w:rsidRDefault="005402EA">
            <w:pPr>
              <w:rPr>
                <w:rFonts w:ascii="Calibri" w:hAnsi="Calibri" w:cs="Calibri"/>
                <w:b/>
                <w:bCs/>
                <w:color w:val="000000"/>
                <w:lang w:val="es-CL" w:eastAsia="es-CL"/>
              </w:rPr>
            </w:pPr>
          </w:p>
          <w:p w14:paraId="21C35E20" w14:textId="77777777" w:rsidR="005402EA" w:rsidRDefault="005402EA">
            <w:pPr>
              <w:rPr>
                <w:rFonts w:ascii="Calibri" w:hAnsi="Calibri" w:cs="Calibri"/>
                <w:b/>
                <w:bCs/>
                <w:color w:val="000000"/>
                <w:lang w:val="es-CL" w:eastAsia="es-CL"/>
              </w:rPr>
            </w:pPr>
          </w:p>
          <w:p w14:paraId="5EFEB4AF" w14:textId="77777777" w:rsidR="005402EA" w:rsidRDefault="005402EA">
            <w:pPr>
              <w:rPr>
                <w:rFonts w:ascii="Calibri" w:hAnsi="Calibri" w:cs="Calibri"/>
                <w:b/>
                <w:bCs/>
                <w:color w:val="000000"/>
                <w:lang w:val="es-CL" w:eastAsia="es-CL"/>
              </w:rPr>
            </w:pPr>
          </w:p>
          <w:p w14:paraId="6C668D37" w14:textId="77777777" w:rsidR="005402EA" w:rsidRDefault="005402EA">
            <w:pPr>
              <w:rPr>
                <w:rFonts w:ascii="Calibri" w:hAnsi="Calibri" w:cs="Calibri"/>
                <w:b/>
                <w:bCs/>
                <w:color w:val="000000"/>
                <w:lang w:val="es-CL" w:eastAsia="es-CL"/>
              </w:rPr>
            </w:pPr>
          </w:p>
          <w:p w14:paraId="3544698C" w14:textId="77777777" w:rsidR="005402EA" w:rsidRDefault="005402EA">
            <w:pPr>
              <w:rPr>
                <w:rFonts w:ascii="Calibri" w:hAnsi="Calibri" w:cs="Calibri"/>
                <w:b/>
                <w:bCs/>
                <w:color w:val="000000"/>
                <w:lang w:val="es-CL" w:eastAsia="es-CL"/>
              </w:rPr>
            </w:pPr>
          </w:p>
          <w:p w14:paraId="1C91EF5C" w14:textId="77777777" w:rsidR="005402EA" w:rsidRDefault="005402EA">
            <w:pPr>
              <w:rPr>
                <w:rFonts w:ascii="Calibri" w:hAnsi="Calibri" w:cs="Calibri"/>
                <w:b/>
                <w:bCs/>
                <w:color w:val="000000"/>
                <w:lang w:val="es-CL" w:eastAsia="es-CL"/>
              </w:rPr>
            </w:pPr>
          </w:p>
          <w:p w14:paraId="25986B8C" w14:textId="77777777" w:rsidR="005402EA" w:rsidRDefault="005402EA">
            <w:pPr>
              <w:rPr>
                <w:rFonts w:ascii="Calibri" w:hAnsi="Calibri" w:cs="Calibri"/>
                <w:b/>
                <w:bCs/>
                <w:color w:val="000000"/>
                <w:lang w:val="es-CL" w:eastAsia="es-CL"/>
              </w:rPr>
            </w:pPr>
            <w:r>
              <w:rPr>
                <w:rFonts w:ascii="Calibri" w:hAnsi="Calibri" w:cs="Calibri"/>
                <w:b/>
                <w:bCs/>
                <w:color w:val="000000"/>
                <w:lang w:val="es-CL" w:eastAsia="es-CL"/>
              </w:rPr>
              <w:t>Estado</w:t>
            </w:r>
          </w:p>
        </w:tc>
        <w:tc>
          <w:tcPr>
            <w:tcW w:w="7666" w:type="dxa"/>
            <w:tcBorders>
              <w:top w:val="single" w:sz="4" w:space="0" w:color="auto"/>
              <w:left w:val="single" w:sz="4" w:space="0" w:color="auto"/>
              <w:bottom w:val="single" w:sz="4" w:space="0" w:color="auto"/>
              <w:right w:val="single" w:sz="4" w:space="0" w:color="auto"/>
            </w:tcBorders>
            <w:vAlign w:val="center"/>
          </w:tcPr>
          <w:p w14:paraId="6362AC81" w14:textId="77777777" w:rsidR="005402EA" w:rsidRDefault="005402EA">
            <w:pPr>
              <w:jc w:val="both"/>
              <w:rPr>
                <w:rFonts w:ascii="Calibri" w:hAnsi="Calibri" w:cs="Calibri"/>
              </w:rPr>
            </w:pPr>
            <w:r>
              <w:rPr>
                <w:rFonts w:ascii="Calibri" w:hAnsi="Calibri" w:cs="Calibri"/>
              </w:rPr>
              <w:lastRenderedPageBreak/>
              <w:t xml:space="preserve">Como es de público conocimiento, el Concesionario no cumplió con enterar el saldo del capital social exigido en el contrato de concesión, por lo que con fecha 10.08.2019, el MOP hizo </w:t>
            </w:r>
            <w:r>
              <w:rPr>
                <w:rFonts w:ascii="Calibri" w:hAnsi="Calibri" w:cs="Calibri"/>
              </w:rPr>
              <w:lastRenderedPageBreak/>
              <w:t>efectivo el cobro de la garantía de construcción por UF 430.000. Posteriormente, con fecha 02.09.2019, el MOP presentó una demanda de extinción de la concesión en la Comisión Arbitral por éste y otros incumplimientos del contrato.</w:t>
            </w:r>
          </w:p>
          <w:p w14:paraId="5B80B81D" w14:textId="77777777" w:rsidR="005402EA" w:rsidRDefault="005402EA">
            <w:pPr>
              <w:jc w:val="both"/>
              <w:rPr>
                <w:rFonts w:ascii="Calibri" w:hAnsi="Calibri" w:cs="Calibri"/>
              </w:rPr>
            </w:pPr>
          </w:p>
          <w:p w14:paraId="742415E9" w14:textId="77777777" w:rsidR="005402EA" w:rsidRDefault="005402EA">
            <w:pPr>
              <w:jc w:val="both"/>
              <w:rPr>
                <w:rFonts w:ascii="Calibri" w:hAnsi="Calibri" w:cs="Calibri"/>
              </w:rPr>
            </w:pPr>
            <w:r>
              <w:rPr>
                <w:rFonts w:ascii="Calibri" w:hAnsi="Calibri" w:cs="Calibri"/>
              </w:rPr>
              <w:t xml:space="preserve">En sesión de fines de mayo 2020, la Comisión Arbitral resolvió recibir la causa a prueba, sin embargo, el proceso se suspendió debido al Régimen Jurídico de Excepción para los procesos judiciales por el Estado de Excepción Constitucional de Catástrofe producto de la enfermedad Covid-19 en Chile (Ley </w:t>
            </w:r>
            <w:proofErr w:type="spellStart"/>
            <w:r>
              <w:rPr>
                <w:rFonts w:ascii="Calibri" w:hAnsi="Calibri" w:cs="Calibri"/>
              </w:rPr>
              <w:t>N°</w:t>
            </w:r>
            <w:proofErr w:type="spellEnd"/>
            <w:r>
              <w:rPr>
                <w:rFonts w:ascii="Calibri" w:hAnsi="Calibri" w:cs="Calibri"/>
              </w:rPr>
              <w:t xml:space="preserve"> 21.226). </w:t>
            </w:r>
          </w:p>
          <w:p w14:paraId="276982A2" w14:textId="77777777" w:rsidR="005402EA" w:rsidRDefault="005402EA">
            <w:pPr>
              <w:jc w:val="both"/>
              <w:rPr>
                <w:rFonts w:ascii="Calibri" w:hAnsi="Calibri" w:cs="Calibri"/>
              </w:rPr>
            </w:pPr>
            <w:r>
              <w:rPr>
                <w:rFonts w:ascii="Calibri" w:hAnsi="Calibri" w:cs="Calibri"/>
              </w:rPr>
              <w:t>Paralelamente se llevó adelante un proceso de negociación entre el MOP y la Sociedad Concesionaria, evaluando la posibilidad de llegar a un acuerdo, para poner fin a la concesión,</w:t>
            </w:r>
          </w:p>
          <w:p w14:paraId="15C5456A" w14:textId="77777777" w:rsidR="005402EA" w:rsidRDefault="005402EA">
            <w:pPr>
              <w:jc w:val="both"/>
              <w:rPr>
                <w:rFonts w:ascii="Calibri" w:hAnsi="Calibri" w:cs="Calibri"/>
              </w:rPr>
            </w:pPr>
            <w:r>
              <w:rPr>
                <w:rFonts w:ascii="Calibri" w:hAnsi="Calibri" w:cs="Calibri"/>
              </w:rPr>
              <w:t xml:space="preserve">y con esto, dar continuidad a la RCA </w:t>
            </w:r>
            <w:proofErr w:type="spellStart"/>
            <w:r>
              <w:rPr>
                <w:rFonts w:ascii="Calibri" w:hAnsi="Calibri" w:cs="Calibri"/>
              </w:rPr>
              <w:t>N°</w:t>
            </w:r>
            <w:proofErr w:type="spellEnd"/>
            <w:r>
              <w:rPr>
                <w:rFonts w:ascii="Calibri" w:hAnsi="Calibri" w:cs="Calibri"/>
              </w:rPr>
              <w:t xml:space="preserve"> 18/2010.</w:t>
            </w:r>
          </w:p>
          <w:p w14:paraId="4C04AEB3" w14:textId="77777777" w:rsidR="005402EA" w:rsidRDefault="005402EA">
            <w:pPr>
              <w:jc w:val="both"/>
              <w:rPr>
                <w:rFonts w:ascii="Calibri" w:hAnsi="Calibri" w:cs="Calibri"/>
              </w:rPr>
            </w:pPr>
            <w:r>
              <w:rPr>
                <w:rFonts w:ascii="Calibri" w:hAnsi="Calibri" w:cs="Calibri"/>
              </w:rPr>
              <w:t xml:space="preserve">Con fecha 28.07.2021 se firma contrato de Transacción entre el Fisco, el MOP y la Sociedad Concesionaria </w:t>
            </w:r>
            <w:proofErr w:type="gramStart"/>
            <w:r>
              <w:rPr>
                <w:rFonts w:ascii="Calibri" w:hAnsi="Calibri" w:cs="Calibri"/>
              </w:rPr>
              <w:t>a objeto de</w:t>
            </w:r>
            <w:proofErr w:type="gramEnd"/>
            <w:r>
              <w:rPr>
                <w:rFonts w:ascii="Calibri" w:hAnsi="Calibri" w:cs="Calibri"/>
              </w:rPr>
              <w:t xml:space="preserve"> poner término al Contrato de Concesión por mutuo acuerdo y de esta manera facilitar la </w:t>
            </w:r>
            <w:proofErr w:type="spellStart"/>
            <w:r>
              <w:rPr>
                <w:rFonts w:ascii="Calibri" w:hAnsi="Calibri" w:cs="Calibri"/>
              </w:rPr>
              <w:t>relicitación</w:t>
            </w:r>
            <w:proofErr w:type="spellEnd"/>
            <w:r>
              <w:rPr>
                <w:rFonts w:ascii="Calibri" w:hAnsi="Calibri" w:cs="Calibri"/>
              </w:rPr>
              <w:t xml:space="preserve"> de las obras del Embalse Punilla y con ello continuar con la atención de los afectados producto de las expropiaciones llevadas a cabo. Con fecha 19 de agosto de 2021 se suscribe en cumplimiento de esta transacción, y con el pronunciamiento favorable del Tribunal Arbitral el 10.08.2021, un Convenio de Extinción del contrato entre la Dirección General de Concesiones y la Sociedad Concesionaria Aguas de Punilla, el cual tiene toma de razón de la CGR el 29.09.2021. Se está a la espera de la publicación en el Diario Oficial fecha que marcará el término de la concesión.</w:t>
            </w:r>
          </w:p>
          <w:p w14:paraId="6AAEF5E5" w14:textId="77777777" w:rsidR="005402EA" w:rsidRDefault="005402EA">
            <w:pPr>
              <w:jc w:val="both"/>
              <w:rPr>
                <w:rFonts w:ascii="Calibri" w:hAnsi="Calibri" w:cs="Calibri"/>
              </w:rPr>
            </w:pPr>
          </w:p>
          <w:p w14:paraId="551C4F78" w14:textId="77777777" w:rsidR="005402EA" w:rsidRDefault="005402EA">
            <w:pPr>
              <w:jc w:val="both"/>
              <w:rPr>
                <w:rFonts w:ascii="Calibri" w:hAnsi="Calibri" w:cs="Calibri"/>
              </w:rPr>
            </w:pPr>
          </w:p>
          <w:p w14:paraId="3A21A368" w14:textId="77777777" w:rsidR="005402EA" w:rsidRDefault="005402EA">
            <w:pPr>
              <w:jc w:val="both"/>
              <w:rPr>
                <w:rFonts w:ascii="Calibri" w:hAnsi="Calibri" w:cs="Calibri"/>
              </w:rPr>
            </w:pPr>
            <w:r>
              <w:rPr>
                <w:rFonts w:ascii="Calibri" w:hAnsi="Calibri" w:cs="Calibri"/>
              </w:rPr>
              <w:t xml:space="preserve">En el intertanto, el Ministerio de Obras Públicas ha </w:t>
            </w:r>
            <w:proofErr w:type="spellStart"/>
            <w:proofErr w:type="gramStart"/>
            <w:r>
              <w:rPr>
                <w:rFonts w:ascii="Calibri" w:hAnsi="Calibri" w:cs="Calibri"/>
              </w:rPr>
              <w:t>estudiando</w:t>
            </w:r>
            <w:proofErr w:type="spellEnd"/>
            <w:proofErr w:type="gramEnd"/>
            <w:r>
              <w:rPr>
                <w:rFonts w:ascii="Calibri" w:hAnsi="Calibri" w:cs="Calibri"/>
              </w:rPr>
              <w:t xml:space="preserve"> la forma en que se va a continuar la materialización del proyecto, realizando los análisis y evaluaciones técnicas y de factibilidad económica por los eventuales cambios de las condiciones actuales a las consideradas en el tiempo en que se licitó el contrato concesionado (variaciones del mercado, cambio climático, análisis de las áreas beneficiadas, alternativas de capacidad del embalse, entre otros). </w:t>
            </w:r>
          </w:p>
          <w:p w14:paraId="3786AD71" w14:textId="77777777" w:rsidR="005402EA" w:rsidRDefault="005402EA">
            <w:pPr>
              <w:jc w:val="both"/>
              <w:rPr>
                <w:rFonts w:ascii="Calibri" w:hAnsi="Calibri" w:cs="Calibri"/>
              </w:rPr>
            </w:pPr>
          </w:p>
          <w:p w14:paraId="44B887AA" w14:textId="77777777" w:rsidR="005402EA" w:rsidRDefault="005402EA">
            <w:pPr>
              <w:jc w:val="both"/>
              <w:rPr>
                <w:rFonts w:cs="Arial"/>
                <w:lang w:val="es-CL"/>
              </w:rPr>
            </w:pPr>
            <w:r>
              <w:rPr>
                <w:rFonts w:ascii="Calibri" w:hAnsi="Calibri" w:cs="Calibri"/>
              </w:rPr>
              <w:t xml:space="preserve">A través de la Resolución DGC </w:t>
            </w:r>
            <w:proofErr w:type="spellStart"/>
            <w:r>
              <w:rPr>
                <w:rFonts w:ascii="Calibri" w:hAnsi="Calibri" w:cs="Calibri"/>
              </w:rPr>
              <w:t>N°</w:t>
            </w:r>
            <w:proofErr w:type="spellEnd"/>
            <w:r>
              <w:rPr>
                <w:rFonts w:ascii="Calibri" w:hAnsi="Calibri" w:cs="Calibri"/>
              </w:rPr>
              <w:t xml:space="preserve"> 2399 (E) de diciembre de 2020, se efectuó la desafectación temporal del tramo de la ruta N-31, entre el Dm 42.720 y el Dm 75.922, cuya infraestructura había sido entregada al Concesionario </w:t>
            </w:r>
            <w:proofErr w:type="gramStart"/>
            <w:r>
              <w:rPr>
                <w:rFonts w:ascii="Calibri" w:hAnsi="Calibri" w:cs="Calibri"/>
              </w:rPr>
              <w:t>de acuerdo a</w:t>
            </w:r>
            <w:proofErr w:type="gramEnd"/>
            <w:r>
              <w:rPr>
                <w:rFonts w:ascii="Calibri" w:hAnsi="Calibri" w:cs="Calibri"/>
              </w:rPr>
              <w:t xml:space="preserve"> lo indicado en las Bases de Licitación. Dicho tramo fue traspasado con fecha 12.02.2021 a la Dirección Regional de Vialidad de la región de Ñuble por el lapso máximo de 6 meses, prorrogable por otros 6 meses por una única vez, quedando la mantención de dicho tramo bajo la responsabilidad de esa Dirección.</w:t>
            </w:r>
          </w:p>
        </w:tc>
      </w:tr>
      <w:tr w:rsidR="005402EA" w14:paraId="02CFA291" w14:textId="77777777" w:rsidTr="005402EA">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3283729" w14:textId="77777777" w:rsidR="005402EA" w:rsidRDefault="005402EA">
            <w:pPr>
              <w:rPr>
                <w:rFonts w:ascii="Calibri" w:hAnsi="Calibri" w:cs="Calibri"/>
                <w:b/>
                <w:bCs/>
                <w:color w:val="000000"/>
                <w:lang w:val="es-CL" w:eastAsia="es-CL"/>
              </w:rPr>
            </w:pPr>
            <w:r>
              <w:rPr>
                <w:rFonts w:ascii="Calibri" w:hAnsi="Calibri" w:cs="Calibri"/>
                <w:b/>
                <w:bCs/>
                <w:color w:val="000000"/>
                <w:lang w:val="es-CL" w:eastAsia="es-CL"/>
              </w:rPr>
              <w:lastRenderedPageBreak/>
              <w:t>Estado de avance del Contrato</w:t>
            </w:r>
          </w:p>
        </w:tc>
        <w:tc>
          <w:tcPr>
            <w:tcW w:w="7666" w:type="dxa"/>
            <w:tcBorders>
              <w:top w:val="single" w:sz="4" w:space="0" w:color="auto"/>
              <w:left w:val="single" w:sz="4" w:space="0" w:color="auto"/>
              <w:bottom w:val="single" w:sz="4" w:space="0" w:color="auto"/>
              <w:right w:val="single" w:sz="4" w:space="0" w:color="auto"/>
            </w:tcBorders>
            <w:vAlign w:val="center"/>
            <w:hideMark/>
          </w:tcPr>
          <w:p w14:paraId="08D8DE2A" w14:textId="77777777" w:rsidR="005402EA" w:rsidRDefault="005402EA">
            <w:pPr>
              <w:spacing w:before="120" w:after="120" w:line="240" w:lineRule="exact"/>
              <w:jc w:val="both"/>
              <w:rPr>
                <w:rFonts w:ascii="Calibri" w:hAnsi="Calibri" w:cs="Calibri"/>
              </w:rPr>
            </w:pPr>
            <w:r>
              <w:rPr>
                <w:rFonts w:ascii="Calibri" w:hAnsi="Calibri" w:cs="Calibri"/>
              </w:rPr>
              <w:t>El contrato aun no inicia obras.</w:t>
            </w:r>
          </w:p>
        </w:tc>
      </w:tr>
    </w:tbl>
    <w:p w14:paraId="729C35B7" w14:textId="77777777" w:rsidR="005402EA" w:rsidRDefault="005402EA" w:rsidP="005402EA">
      <w:pPr>
        <w:spacing w:line="360" w:lineRule="auto"/>
        <w:rPr>
          <w:rFonts w:ascii="Verdana" w:hAnsi="Verdana" w:cs="Arial"/>
          <w:b/>
        </w:rPr>
      </w:pPr>
    </w:p>
    <w:p w14:paraId="6DC5B1A7" w14:textId="77777777" w:rsidR="005402EA" w:rsidRDefault="005402EA" w:rsidP="005402EA">
      <w:pPr>
        <w:spacing w:after="120"/>
        <w:jc w:val="center"/>
        <w:rPr>
          <w:rFonts w:asciiTheme="minorHAnsi" w:hAnsiTheme="minorHAnsi"/>
          <w:b/>
          <w:lang w:val="es-ES" w:eastAsia="en-US"/>
        </w:rPr>
      </w:pPr>
      <w:r>
        <w:rPr>
          <w:b/>
        </w:rPr>
        <w:t>Minuta: Concesión Embalse Las Palmas</w:t>
      </w:r>
    </w:p>
    <w:p w14:paraId="543D5478" w14:textId="77777777" w:rsidR="005402EA" w:rsidRDefault="005402EA" w:rsidP="005402EA">
      <w:pPr>
        <w:spacing w:after="120"/>
        <w:jc w:val="center"/>
        <w:rPr>
          <w:b/>
        </w:rPr>
      </w:pPr>
      <w:r>
        <w:rPr>
          <w:b/>
        </w:rPr>
        <w:t xml:space="preserve">División de Construcción </w:t>
      </w:r>
    </w:p>
    <w:p w14:paraId="4FDE62B9" w14:textId="77777777" w:rsidR="005402EA" w:rsidRDefault="005402EA" w:rsidP="005402EA">
      <w:pPr>
        <w:spacing w:after="120"/>
        <w:jc w:val="center"/>
      </w:pPr>
      <w:r>
        <w:rPr>
          <w:b/>
        </w:rPr>
        <w:t>OCTUBRE 2021</w:t>
      </w:r>
    </w:p>
    <w:tbl>
      <w:tblPr>
        <w:tblpPr w:leftFromText="142" w:rightFromText="142" w:bottomFromText="200" w:vertAnchor="text" w:horzAnchor="margin" w:tblpXSpec="center" w:tblpY="1"/>
        <w:tblOverlap w:val="neve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3"/>
        <w:gridCol w:w="7667"/>
      </w:tblGrid>
      <w:tr w:rsidR="005402EA" w14:paraId="1ED78BEA" w14:textId="77777777" w:rsidTr="005402EA">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17E38F6" w14:textId="77777777" w:rsidR="005402EA" w:rsidRDefault="005402EA">
            <w:pPr>
              <w:rPr>
                <w:rFonts w:ascii="Calibri" w:hAnsi="Calibri" w:cs="Calibri"/>
                <w:b/>
                <w:bCs/>
                <w:color w:val="000000"/>
                <w:lang w:val="es-CL" w:eastAsia="es-CL"/>
              </w:rPr>
            </w:pPr>
            <w:r>
              <w:rPr>
                <w:rFonts w:ascii="Calibri" w:hAnsi="Calibri" w:cs="Calibri"/>
                <w:b/>
                <w:bCs/>
                <w:color w:val="000000"/>
                <w:lang w:val="es-CL" w:eastAsia="es-CL"/>
              </w:rPr>
              <w:t>Región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025C0279" w14:textId="77777777" w:rsidR="005402EA" w:rsidRDefault="005402EA">
            <w:pPr>
              <w:spacing w:before="20" w:after="20"/>
              <w:rPr>
                <w:rFonts w:ascii="Calibri" w:hAnsi="Calibri" w:cs="Calibri"/>
                <w:color w:val="000000"/>
                <w:lang w:val="es-CL" w:eastAsia="es-CL"/>
              </w:rPr>
            </w:pPr>
            <w:r>
              <w:rPr>
                <w:rFonts w:ascii="Calibri" w:hAnsi="Calibri" w:cs="Calibri"/>
                <w:color w:val="000000"/>
                <w:lang w:val="es-CL" w:eastAsia="es-CL"/>
              </w:rPr>
              <w:t xml:space="preserve"> Región de Valparaíso.</w:t>
            </w:r>
          </w:p>
        </w:tc>
      </w:tr>
      <w:tr w:rsidR="005402EA" w14:paraId="2D5E7F89" w14:textId="77777777" w:rsidTr="005402EA">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E1F4D14" w14:textId="77777777" w:rsidR="005402EA" w:rsidRDefault="005402EA">
            <w:pPr>
              <w:rPr>
                <w:rFonts w:ascii="Calibri" w:hAnsi="Calibri" w:cs="Calibri"/>
                <w:b/>
                <w:bCs/>
                <w:color w:val="000000"/>
                <w:lang w:val="es-CL" w:eastAsia="es-CL"/>
              </w:rPr>
            </w:pPr>
            <w:r>
              <w:rPr>
                <w:rFonts w:ascii="Calibri" w:hAnsi="Calibri" w:cs="Calibri"/>
                <w:b/>
                <w:bCs/>
                <w:color w:val="000000"/>
                <w:lang w:val="es-CL" w:eastAsia="es-CL"/>
              </w:rPr>
              <w:t>Nombre proyecto</w:t>
            </w:r>
          </w:p>
        </w:tc>
        <w:tc>
          <w:tcPr>
            <w:tcW w:w="7666" w:type="dxa"/>
            <w:tcBorders>
              <w:top w:val="single" w:sz="4" w:space="0" w:color="auto"/>
              <w:left w:val="single" w:sz="4" w:space="0" w:color="auto"/>
              <w:bottom w:val="single" w:sz="4" w:space="0" w:color="auto"/>
              <w:right w:val="single" w:sz="4" w:space="0" w:color="auto"/>
            </w:tcBorders>
            <w:vAlign w:val="center"/>
            <w:hideMark/>
          </w:tcPr>
          <w:p w14:paraId="21DCC42C" w14:textId="77777777" w:rsidR="005402EA" w:rsidRDefault="005402EA">
            <w:pPr>
              <w:spacing w:before="20" w:after="20"/>
              <w:rPr>
                <w:rFonts w:ascii="Calibri" w:hAnsi="Calibri" w:cs="Calibri"/>
                <w:color w:val="000000"/>
                <w:lang w:val="es-CR" w:eastAsia="es-CL"/>
              </w:rPr>
            </w:pPr>
            <w:r>
              <w:rPr>
                <w:rFonts w:ascii="Calibri" w:hAnsi="Calibri" w:cs="Calibri"/>
                <w:color w:val="000000"/>
                <w:lang w:val="es-CR" w:eastAsia="es-CL"/>
              </w:rPr>
              <w:t>Concesión Embalse Las Palmas.</w:t>
            </w:r>
          </w:p>
        </w:tc>
      </w:tr>
      <w:tr w:rsidR="005402EA" w14:paraId="2628391C" w14:textId="77777777" w:rsidTr="005402EA">
        <w:trPr>
          <w:trHeight w:val="499"/>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D4F836A" w14:textId="77777777" w:rsidR="005402EA" w:rsidRDefault="005402EA">
            <w:pPr>
              <w:spacing w:before="100" w:beforeAutospacing="1" w:after="100" w:afterAutospacing="1" w:line="240" w:lineRule="exact"/>
              <w:rPr>
                <w:rFonts w:ascii="Calibri" w:hAnsi="Calibri" w:cs="Calibri"/>
                <w:b/>
                <w:bCs/>
                <w:color w:val="000000"/>
                <w:lang w:val="es-CL" w:eastAsia="es-CL"/>
              </w:rPr>
            </w:pPr>
            <w:r>
              <w:rPr>
                <w:rFonts w:ascii="Calibri" w:hAnsi="Calibri" w:cs="Calibri"/>
                <w:b/>
                <w:bCs/>
                <w:color w:val="000000"/>
                <w:lang w:val="es-CL" w:eastAsia="es-CL"/>
              </w:rPr>
              <w:t>Provincia</w:t>
            </w:r>
          </w:p>
        </w:tc>
        <w:tc>
          <w:tcPr>
            <w:tcW w:w="7666" w:type="dxa"/>
            <w:tcBorders>
              <w:top w:val="single" w:sz="4" w:space="0" w:color="auto"/>
              <w:left w:val="single" w:sz="4" w:space="0" w:color="auto"/>
              <w:bottom w:val="single" w:sz="4" w:space="0" w:color="auto"/>
              <w:right w:val="single" w:sz="4" w:space="0" w:color="auto"/>
            </w:tcBorders>
            <w:vAlign w:val="center"/>
            <w:hideMark/>
          </w:tcPr>
          <w:p w14:paraId="0E71286B" w14:textId="77777777" w:rsidR="005402EA" w:rsidRDefault="005402EA">
            <w:pPr>
              <w:spacing w:before="100" w:beforeAutospacing="1" w:after="100" w:afterAutospacing="1" w:line="240" w:lineRule="exact"/>
              <w:rPr>
                <w:rFonts w:ascii="Calibri" w:hAnsi="Calibri" w:cs="Calibri"/>
                <w:color w:val="000000"/>
                <w:lang w:val="es-CL" w:eastAsia="es-CL"/>
              </w:rPr>
            </w:pPr>
            <w:r>
              <w:rPr>
                <w:rFonts w:ascii="Calibri" w:hAnsi="Calibri" w:cs="Calibri"/>
                <w:color w:val="000000"/>
                <w:lang w:val="es-CL" w:eastAsia="es-CL"/>
              </w:rPr>
              <w:t>Petorca.</w:t>
            </w:r>
          </w:p>
        </w:tc>
      </w:tr>
      <w:tr w:rsidR="005402EA" w14:paraId="281898E2" w14:textId="77777777" w:rsidTr="005402EA">
        <w:trPr>
          <w:trHeight w:val="268"/>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023AF66" w14:textId="77777777" w:rsidR="005402EA" w:rsidRDefault="005402EA">
            <w:pPr>
              <w:rPr>
                <w:rFonts w:ascii="Calibri" w:hAnsi="Calibri" w:cs="Calibri"/>
                <w:b/>
                <w:bCs/>
                <w:color w:val="000000"/>
                <w:lang w:val="es-CL" w:eastAsia="es-CL"/>
              </w:rPr>
            </w:pPr>
            <w:r>
              <w:rPr>
                <w:rFonts w:ascii="Calibri" w:hAnsi="Calibri" w:cs="Calibri"/>
                <w:b/>
                <w:bCs/>
                <w:color w:val="000000"/>
                <w:lang w:val="es-CL" w:eastAsia="es-CL"/>
              </w:rPr>
              <w:t>Plazo de la concesión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240CE028" w14:textId="77777777" w:rsidR="005402EA" w:rsidRDefault="005402EA">
            <w:pPr>
              <w:rPr>
                <w:rFonts w:asciiTheme="minorHAnsi" w:hAnsiTheme="minorHAnsi" w:cstheme="minorHAnsi"/>
                <w:color w:val="000000"/>
                <w:lang w:val="es-CL" w:eastAsia="es-CL"/>
              </w:rPr>
            </w:pPr>
            <w:r>
              <w:rPr>
                <w:rFonts w:cstheme="minorHAnsi"/>
                <w:lang w:val="es-CL"/>
              </w:rPr>
              <w:t xml:space="preserve">Inicio concesión: </w:t>
            </w:r>
            <w:r>
              <w:rPr>
                <w:rFonts w:cstheme="minorHAnsi"/>
                <w:color w:val="000000"/>
                <w:lang w:val="es-CL" w:eastAsia="es-CL"/>
              </w:rPr>
              <w:t xml:space="preserve">04.05.2018 (Publicación del DS </w:t>
            </w:r>
            <w:proofErr w:type="spellStart"/>
            <w:r>
              <w:rPr>
                <w:rFonts w:cstheme="minorHAnsi"/>
                <w:color w:val="000000"/>
                <w:lang w:val="es-CL" w:eastAsia="es-CL"/>
              </w:rPr>
              <w:t>N°</w:t>
            </w:r>
            <w:proofErr w:type="spellEnd"/>
            <w:r>
              <w:rPr>
                <w:rFonts w:cstheme="minorHAnsi"/>
                <w:color w:val="000000"/>
                <w:lang w:val="es-CL" w:eastAsia="es-CL"/>
              </w:rPr>
              <w:t xml:space="preserve"> 34 de 06 de marzo de 2018).</w:t>
            </w:r>
          </w:p>
          <w:p w14:paraId="1D001B00" w14:textId="77777777" w:rsidR="005402EA" w:rsidRDefault="005402EA">
            <w:pPr>
              <w:rPr>
                <w:rFonts w:ascii="Calibri" w:hAnsi="Calibri" w:cs="Calibri"/>
                <w:color w:val="000000"/>
                <w:lang w:val="es-CL" w:eastAsia="es-CL"/>
              </w:rPr>
            </w:pPr>
            <w:r>
              <w:rPr>
                <w:rFonts w:cstheme="minorHAnsi"/>
                <w:color w:val="000000"/>
                <w:lang w:val="es-CL" w:eastAsia="es-CL"/>
              </w:rPr>
              <w:t xml:space="preserve">Término de la concesión: </w:t>
            </w:r>
            <w:r>
              <w:rPr>
                <w:rFonts w:cstheme="minorHAnsi"/>
                <w:lang w:val="es-CL" w:eastAsia="es-CL"/>
              </w:rPr>
              <w:t>04.05.2037 (</w:t>
            </w:r>
            <w:r>
              <w:rPr>
                <w:rFonts w:cstheme="minorHAnsi"/>
              </w:rPr>
              <w:t>19 años)</w:t>
            </w:r>
            <w:r>
              <w:rPr>
                <w:rFonts w:cs="Arial"/>
                <w:szCs w:val="16"/>
              </w:rPr>
              <w:t>.</w:t>
            </w:r>
          </w:p>
        </w:tc>
      </w:tr>
      <w:tr w:rsidR="005402EA" w14:paraId="6146C49C" w14:textId="77777777" w:rsidTr="005402EA">
        <w:trPr>
          <w:trHeight w:val="539"/>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52ADCD53" w14:textId="77777777" w:rsidR="005402EA" w:rsidRDefault="005402EA">
            <w:pPr>
              <w:rPr>
                <w:rFonts w:ascii="Calibri" w:hAnsi="Calibri" w:cs="Calibri"/>
                <w:b/>
                <w:bCs/>
                <w:color w:val="000000"/>
                <w:lang w:val="es-CL" w:eastAsia="es-CL"/>
              </w:rPr>
            </w:pPr>
            <w:r>
              <w:rPr>
                <w:rFonts w:ascii="Calibri" w:hAnsi="Calibri" w:cs="Calibri"/>
                <w:b/>
                <w:bCs/>
                <w:color w:val="000000"/>
                <w:lang w:val="es-CL" w:eastAsia="es-CL"/>
              </w:rPr>
              <w:t>Presupuesto oficial</w:t>
            </w:r>
          </w:p>
        </w:tc>
        <w:tc>
          <w:tcPr>
            <w:tcW w:w="7666" w:type="dxa"/>
            <w:tcBorders>
              <w:top w:val="single" w:sz="4" w:space="0" w:color="auto"/>
              <w:left w:val="single" w:sz="4" w:space="0" w:color="auto"/>
              <w:bottom w:val="single" w:sz="4" w:space="0" w:color="auto"/>
              <w:right w:val="single" w:sz="4" w:space="0" w:color="auto"/>
            </w:tcBorders>
            <w:vAlign w:val="center"/>
            <w:hideMark/>
          </w:tcPr>
          <w:p w14:paraId="70AABDF8" w14:textId="77777777" w:rsidR="005402EA" w:rsidRDefault="005402EA">
            <w:pPr>
              <w:spacing w:before="20" w:after="20"/>
              <w:rPr>
                <w:rFonts w:ascii="Calibri" w:hAnsi="Calibri" w:cs="Calibri"/>
                <w:color w:val="000000"/>
                <w:lang w:val="es-CL" w:eastAsia="es-CL"/>
              </w:rPr>
            </w:pPr>
            <w:r>
              <w:rPr>
                <w:rFonts w:ascii="Calibri" w:hAnsi="Calibri" w:cs="Calibri"/>
                <w:color w:val="000000"/>
                <w:lang w:val="es-CL" w:eastAsia="es-CL"/>
              </w:rPr>
              <w:t>Inversión Total: UF 3.880.000 + IVA.</w:t>
            </w:r>
          </w:p>
        </w:tc>
      </w:tr>
      <w:tr w:rsidR="005402EA" w14:paraId="311FBE62" w14:textId="77777777" w:rsidTr="005402EA">
        <w:trPr>
          <w:trHeight w:val="99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2F175B4" w14:textId="77777777" w:rsidR="005402EA" w:rsidRDefault="005402EA">
            <w:pPr>
              <w:spacing w:before="20" w:after="20"/>
              <w:rPr>
                <w:rFonts w:ascii="Calibri" w:hAnsi="Calibri" w:cs="Calibri"/>
                <w:b/>
                <w:bCs/>
                <w:color w:val="000000"/>
                <w:lang w:val="es-CL" w:eastAsia="es-CL"/>
              </w:rPr>
            </w:pPr>
            <w:r>
              <w:rPr>
                <w:rFonts w:ascii="Calibri" w:hAnsi="Calibri" w:cs="Calibri"/>
                <w:b/>
                <w:bCs/>
                <w:color w:val="000000"/>
                <w:lang w:val="es-CL" w:eastAsia="es-CL"/>
              </w:rPr>
              <w:t xml:space="preserve">Sociedad Concesionaria </w:t>
            </w:r>
          </w:p>
        </w:tc>
        <w:tc>
          <w:tcPr>
            <w:tcW w:w="7666" w:type="dxa"/>
            <w:tcBorders>
              <w:top w:val="single" w:sz="4" w:space="0" w:color="auto"/>
              <w:left w:val="single" w:sz="4" w:space="0" w:color="auto"/>
              <w:bottom w:val="single" w:sz="4" w:space="0" w:color="auto"/>
              <w:right w:val="single" w:sz="4" w:space="0" w:color="auto"/>
            </w:tcBorders>
            <w:vAlign w:val="center"/>
            <w:hideMark/>
          </w:tcPr>
          <w:p w14:paraId="343D5CD9" w14:textId="77777777" w:rsidR="005402EA" w:rsidRDefault="005402EA">
            <w:pPr>
              <w:rPr>
                <w:rFonts w:asciiTheme="minorHAnsi" w:hAnsiTheme="minorHAnsi" w:cstheme="minorHAnsi"/>
                <w:color w:val="000000"/>
                <w:szCs w:val="24"/>
                <w:lang w:val="es-ES" w:eastAsia="es-CL"/>
              </w:rPr>
            </w:pPr>
            <w:r>
              <w:rPr>
                <w:rFonts w:cstheme="minorHAnsi"/>
                <w:color w:val="000000"/>
                <w:szCs w:val="24"/>
                <w:lang w:eastAsia="es-CL"/>
              </w:rPr>
              <w:t>Sociedad Concesionaria CHEC Embalse Las Palmas S.A.</w:t>
            </w:r>
            <w:r>
              <w:rPr>
                <w:rFonts w:ascii="Calibri" w:hAnsi="Calibri"/>
                <w:lang w:val="en-US"/>
              </w:rPr>
              <w:t xml:space="preserve"> (</w:t>
            </w:r>
            <w:r>
              <w:rPr>
                <w:rFonts w:cstheme="minorHAnsi"/>
                <w:color w:val="000000"/>
                <w:szCs w:val="24"/>
                <w:lang w:val="en-US" w:eastAsia="es-CL"/>
              </w:rPr>
              <w:t xml:space="preserve">China </w:t>
            </w:r>
            <w:proofErr w:type="spellStart"/>
            <w:r>
              <w:rPr>
                <w:rFonts w:cstheme="minorHAnsi"/>
                <w:color w:val="000000"/>
                <w:szCs w:val="24"/>
                <w:lang w:val="en-US" w:eastAsia="es-CL"/>
              </w:rPr>
              <w:t>Harbour</w:t>
            </w:r>
            <w:proofErr w:type="spellEnd"/>
            <w:r>
              <w:rPr>
                <w:rFonts w:cstheme="minorHAnsi"/>
                <w:color w:val="000000"/>
                <w:szCs w:val="24"/>
                <w:lang w:val="en-US" w:eastAsia="es-CL"/>
              </w:rPr>
              <w:t xml:space="preserve"> Engineering Company Ltda.).</w:t>
            </w:r>
          </w:p>
        </w:tc>
      </w:tr>
      <w:tr w:rsidR="005402EA" w14:paraId="0589C634" w14:textId="77777777" w:rsidTr="005402EA">
        <w:trPr>
          <w:trHeight w:val="7078"/>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9D78F5E" w14:textId="77777777" w:rsidR="005402EA" w:rsidRDefault="005402EA">
            <w:pPr>
              <w:spacing w:before="20" w:after="20"/>
              <w:rPr>
                <w:rFonts w:ascii="Calibri" w:hAnsi="Calibri" w:cs="Calibri"/>
                <w:b/>
                <w:bCs/>
                <w:color w:val="000000"/>
                <w:lang w:val="es-CL" w:eastAsia="es-CL"/>
              </w:rPr>
            </w:pPr>
            <w:r>
              <w:rPr>
                <w:rFonts w:ascii="Calibri" w:hAnsi="Calibri" w:cs="Calibri"/>
                <w:b/>
                <w:bCs/>
                <w:color w:val="000000"/>
                <w:lang w:val="es-CL" w:eastAsia="es-CL"/>
              </w:rPr>
              <w:lastRenderedPageBreak/>
              <w:t>Descripción General</w:t>
            </w:r>
          </w:p>
        </w:tc>
        <w:tc>
          <w:tcPr>
            <w:tcW w:w="7666" w:type="dxa"/>
            <w:tcBorders>
              <w:top w:val="single" w:sz="4" w:space="0" w:color="auto"/>
              <w:left w:val="single" w:sz="4" w:space="0" w:color="auto"/>
              <w:bottom w:val="single" w:sz="4" w:space="0" w:color="auto"/>
              <w:right w:val="single" w:sz="4" w:space="0" w:color="auto"/>
            </w:tcBorders>
            <w:vAlign w:val="center"/>
          </w:tcPr>
          <w:p w14:paraId="4DA3D3DA" w14:textId="77777777" w:rsidR="005402EA" w:rsidRDefault="005402EA">
            <w:pPr>
              <w:jc w:val="both"/>
              <w:rPr>
                <w:rFonts w:ascii="Calibri" w:hAnsi="Calibri" w:cs="Calibri"/>
                <w:bCs/>
                <w:lang w:val="es-CL" w:eastAsia="es-CL"/>
              </w:rPr>
            </w:pPr>
          </w:p>
          <w:p w14:paraId="21032FB5" w14:textId="77777777" w:rsidR="005402EA" w:rsidRDefault="005402EA">
            <w:pPr>
              <w:jc w:val="both"/>
              <w:rPr>
                <w:rFonts w:ascii="Calibri" w:hAnsi="Calibri" w:cs="Calibri"/>
                <w:bCs/>
                <w:lang w:val="es-CL" w:eastAsia="es-CL"/>
              </w:rPr>
            </w:pPr>
            <w:r>
              <w:rPr>
                <w:rFonts w:ascii="Calibri" w:hAnsi="Calibri" w:cs="Calibri"/>
                <w:bCs/>
                <w:lang w:val="es-CL" w:eastAsia="es-CL"/>
              </w:rPr>
              <w:t>El proyecto denominado “Concesión Embalse Las Palmas”, consiste en la construcción, mantención y explotación de un Embalse, cuyo principal objetivo será asegurar y permitir el riego de la zona media y baja de la cuenca del valle del río Petorca.</w:t>
            </w:r>
          </w:p>
          <w:p w14:paraId="124A009C" w14:textId="77777777" w:rsidR="005402EA" w:rsidRDefault="005402EA">
            <w:pPr>
              <w:jc w:val="both"/>
              <w:rPr>
                <w:rFonts w:ascii="Calibri" w:hAnsi="Calibri" w:cs="Calibri"/>
                <w:bCs/>
                <w:lang w:val="es-CL" w:eastAsia="es-CL"/>
              </w:rPr>
            </w:pPr>
          </w:p>
          <w:p w14:paraId="3C060995" w14:textId="77777777" w:rsidR="005402EA" w:rsidRDefault="005402EA">
            <w:pPr>
              <w:jc w:val="both"/>
              <w:rPr>
                <w:rFonts w:ascii="Calibri" w:hAnsi="Calibri" w:cs="Calibri"/>
                <w:bCs/>
                <w:lang w:val="es-CL" w:eastAsia="es-CL"/>
              </w:rPr>
            </w:pPr>
            <w:r>
              <w:rPr>
                <w:rFonts w:ascii="Calibri" w:hAnsi="Calibri" w:cs="Calibri"/>
                <w:bCs/>
                <w:lang w:val="es-CL" w:eastAsia="es-CL"/>
              </w:rPr>
              <w:t>El diseño de detalle comprende tanto la presa misma como sus obras anexas y complementarias, resolviendo las interferencias con caminos y líneas eléctricas que se presentan.</w:t>
            </w:r>
          </w:p>
          <w:p w14:paraId="4EAA79B6" w14:textId="77777777" w:rsidR="005402EA" w:rsidRDefault="005402EA">
            <w:pPr>
              <w:jc w:val="both"/>
              <w:rPr>
                <w:rFonts w:ascii="Calibri" w:hAnsi="Calibri" w:cs="Calibri"/>
                <w:bCs/>
                <w:lang w:val="es-CL" w:eastAsia="es-CL"/>
              </w:rPr>
            </w:pPr>
          </w:p>
          <w:p w14:paraId="7D0C1A1F" w14:textId="77777777" w:rsidR="005402EA" w:rsidRDefault="005402EA">
            <w:pPr>
              <w:jc w:val="both"/>
              <w:rPr>
                <w:rFonts w:ascii="Calibri" w:hAnsi="Calibri" w:cs="Calibri"/>
                <w:bCs/>
                <w:lang w:val="es-CL" w:eastAsia="es-CL"/>
              </w:rPr>
            </w:pPr>
            <w:r>
              <w:rPr>
                <w:rFonts w:ascii="Calibri" w:hAnsi="Calibri" w:cs="Calibri"/>
                <w:bCs/>
                <w:lang w:val="es-CL" w:eastAsia="es-CL"/>
              </w:rPr>
              <w:t>El Embalse Las Palmas, se ubicará en el estero Las Palmas, a unos 17 km al oeste de la localidad de Petorca, comuna de Petorca, Región de Valparaíso. Será un embalse destinado a abastecer principalmente las necesidades de riego con un volumen total de 55 millones de m</w:t>
            </w:r>
            <w:r>
              <w:rPr>
                <w:rFonts w:ascii="Calibri" w:hAnsi="Calibri" w:cs="Calibri"/>
                <w:bCs/>
                <w:vertAlign w:val="superscript"/>
                <w:lang w:val="es-CL" w:eastAsia="es-CL"/>
              </w:rPr>
              <w:t>3</w:t>
            </w:r>
            <w:r>
              <w:rPr>
                <w:rFonts w:ascii="Calibri" w:hAnsi="Calibri" w:cs="Calibri"/>
                <w:bCs/>
                <w:lang w:val="es-CL" w:eastAsia="es-CL"/>
              </w:rPr>
              <w:t xml:space="preserve"> de capacidad, inundando una superficie total de aproximadamente 252 hectáreas. También se considera suministro de agua no tratada para consumo humano y mantención del caudal ecológico.</w:t>
            </w:r>
          </w:p>
          <w:p w14:paraId="545323C0" w14:textId="77777777" w:rsidR="005402EA" w:rsidRDefault="005402EA">
            <w:pPr>
              <w:jc w:val="both"/>
              <w:rPr>
                <w:rFonts w:ascii="Calibri" w:hAnsi="Calibri" w:cs="Calibri"/>
                <w:bCs/>
                <w:lang w:val="es-CL" w:eastAsia="es-CL"/>
              </w:rPr>
            </w:pPr>
          </w:p>
          <w:p w14:paraId="148F6CC5" w14:textId="77777777" w:rsidR="005402EA" w:rsidRDefault="005402EA">
            <w:pPr>
              <w:jc w:val="both"/>
              <w:rPr>
                <w:rFonts w:ascii="Calibri" w:hAnsi="Calibri" w:cs="Calibri"/>
                <w:bCs/>
                <w:lang w:val="es-CL" w:eastAsia="es-CL"/>
              </w:rPr>
            </w:pPr>
            <w:r>
              <w:rPr>
                <w:rFonts w:ascii="Calibri" w:hAnsi="Calibri" w:cs="Calibri"/>
                <w:bCs/>
                <w:lang w:val="es-CL" w:eastAsia="es-CL"/>
              </w:rPr>
              <w:t xml:space="preserve">La obra consiste en la construcción de dos muros, uno principal de tipo CFRD (Concrete </w:t>
            </w:r>
            <w:proofErr w:type="spellStart"/>
            <w:r>
              <w:rPr>
                <w:rFonts w:ascii="Calibri" w:hAnsi="Calibri" w:cs="Calibri"/>
                <w:bCs/>
                <w:lang w:val="es-CL" w:eastAsia="es-CL"/>
              </w:rPr>
              <w:t>Face</w:t>
            </w:r>
            <w:proofErr w:type="spellEnd"/>
            <w:r>
              <w:rPr>
                <w:rFonts w:ascii="Calibri" w:hAnsi="Calibri" w:cs="Calibri"/>
                <w:bCs/>
                <w:lang w:val="es-CL" w:eastAsia="es-CL"/>
              </w:rPr>
              <w:t xml:space="preserve"> </w:t>
            </w:r>
            <w:proofErr w:type="spellStart"/>
            <w:r>
              <w:rPr>
                <w:rFonts w:ascii="Calibri" w:hAnsi="Calibri" w:cs="Calibri"/>
                <w:bCs/>
                <w:lang w:val="es-CL" w:eastAsia="es-CL"/>
              </w:rPr>
              <w:t>Rockfill</w:t>
            </w:r>
            <w:proofErr w:type="spellEnd"/>
            <w:r>
              <w:rPr>
                <w:rFonts w:ascii="Calibri" w:hAnsi="Calibri" w:cs="Calibri"/>
                <w:bCs/>
                <w:lang w:val="es-CL" w:eastAsia="es-CL"/>
              </w:rPr>
              <w:t xml:space="preserve"> </w:t>
            </w:r>
            <w:proofErr w:type="spellStart"/>
            <w:r>
              <w:rPr>
                <w:rFonts w:ascii="Calibri" w:hAnsi="Calibri" w:cs="Calibri"/>
                <w:bCs/>
                <w:lang w:val="es-CL" w:eastAsia="es-CL"/>
              </w:rPr>
              <w:t>Dam</w:t>
            </w:r>
            <w:proofErr w:type="spellEnd"/>
            <w:r>
              <w:rPr>
                <w:rFonts w:ascii="Calibri" w:hAnsi="Calibri" w:cs="Calibri"/>
                <w:bCs/>
                <w:lang w:val="es-CL" w:eastAsia="es-CL"/>
              </w:rPr>
              <w:t xml:space="preserve">), </w:t>
            </w:r>
            <w:proofErr w:type="gramStart"/>
            <w:r>
              <w:rPr>
                <w:rFonts w:ascii="Calibri" w:hAnsi="Calibri" w:cs="Calibri"/>
                <w:bCs/>
                <w:lang w:val="es-CL" w:eastAsia="es-CL"/>
              </w:rPr>
              <w:t>que</w:t>
            </w:r>
            <w:proofErr w:type="gramEnd"/>
            <w:r>
              <w:rPr>
                <w:rFonts w:ascii="Calibri" w:hAnsi="Calibri" w:cs="Calibri"/>
                <w:bCs/>
                <w:lang w:val="es-CL" w:eastAsia="es-CL"/>
              </w:rPr>
              <w:t xml:space="preserve"> en términos simples, se define como un muro de enrocados y/o gravas permeables, compactado con una pantalla de hormigón en el paramento de aguas arriba, de 560 m de largo y 70 m de altura aproximada, y un muro secundario de 110 m de largo y 10 m de altura aproximada. </w:t>
            </w:r>
            <w:proofErr w:type="gramStart"/>
            <w:r>
              <w:rPr>
                <w:rFonts w:ascii="Calibri" w:hAnsi="Calibri" w:cs="Calibri"/>
                <w:bCs/>
                <w:lang w:val="es-CL" w:eastAsia="es-CL"/>
              </w:rPr>
              <w:t>Además</w:t>
            </w:r>
            <w:proofErr w:type="gramEnd"/>
            <w:r>
              <w:rPr>
                <w:rFonts w:ascii="Calibri" w:hAnsi="Calibri" w:cs="Calibri"/>
                <w:bCs/>
                <w:lang w:val="es-CL" w:eastAsia="es-CL"/>
              </w:rPr>
              <w:t xml:space="preserve"> considera un canal alimentador de 57 km que permitirá la conducción de aguas desde la cuenca del río Petorca hasta el Embalse, permitiendo aumentar los recursos hídricos que es posible almacenar.</w:t>
            </w:r>
          </w:p>
          <w:p w14:paraId="5D4C8A3F" w14:textId="77777777" w:rsidR="005402EA" w:rsidRDefault="005402EA">
            <w:pPr>
              <w:jc w:val="both"/>
              <w:rPr>
                <w:rFonts w:ascii="Calibri" w:hAnsi="Calibri" w:cs="Calibri"/>
                <w:bCs/>
                <w:lang w:val="es-CL" w:eastAsia="es-CL"/>
              </w:rPr>
            </w:pPr>
          </w:p>
          <w:p w14:paraId="5C607411" w14:textId="77777777" w:rsidR="005402EA" w:rsidRDefault="005402EA">
            <w:pPr>
              <w:jc w:val="both"/>
              <w:rPr>
                <w:rFonts w:ascii="Calibri" w:hAnsi="Calibri" w:cs="Calibri"/>
                <w:bCs/>
                <w:lang w:val="es-CL" w:eastAsia="es-CL"/>
              </w:rPr>
            </w:pPr>
            <w:r>
              <w:rPr>
                <w:rFonts w:ascii="Calibri" w:hAnsi="Calibri" w:cs="Calibri"/>
                <w:bCs/>
                <w:lang w:val="es-CL" w:eastAsia="es-CL"/>
              </w:rPr>
              <w:t xml:space="preserve">Este Embalse considera entre sus principales Obras Anexas, las Obras de Desvío, de </w:t>
            </w:r>
            <w:proofErr w:type="gramStart"/>
            <w:r>
              <w:rPr>
                <w:rFonts w:ascii="Calibri" w:hAnsi="Calibri" w:cs="Calibri"/>
                <w:bCs/>
                <w:lang w:val="es-CL" w:eastAsia="es-CL"/>
              </w:rPr>
              <w:t>Toma,  de</w:t>
            </w:r>
            <w:proofErr w:type="gramEnd"/>
            <w:r>
              <w:rPr>
                <w:rFonts w:ascii="Calibri" w:hAnsi="Calibri" w:cs="Calibri"/>
                <w:bCs/>
                <w:lang w:val="es-CL" w:eastAsia="es-CL"/>
              </w:rPr>
              <w:t xml:space="preserve"> Desagüe de Fondo, de Entrega a Riego, Obras de Entrega del Caudal Ecológico y de Evacuación; por otra parte considera como Obras Complementarias obligatorias, entre otras, el Canal Alimentador y Bocatoma, las Variantes a las Rutas E-37 y E-315, los Caminos de Operación y Acceso a las Obras y las Estaciones de Control.</w:t>
            </w:r>
          </w:p>
          <w:p w14:paraId="7B51A091" w14:textId="77777777" w:rsidR="005402EA" w:rsidRDefault="005402EA">
            <w:pPr>
              <w:jc w:val="both"/>
              <w:rPr>
                <w:rFonts w:ascii="Calibri" w:hAnsi="Calibri" w:cs="Calibri"/>
                <w:lang w:val="es-CL" w:eastAsia="es-CL"/>
              </w:rPr>
            </w:pPr>
          </w:p>
        </w:tc>
      </w:tr>
      <w:tr w:rsidR="005402EA" w14:paraId="0FFB611C" w14:textId="77777777" w:rsidTr="005402EA">
        <w:trPr>
          <w:trHeight w:val="99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1855F2F" w14:textId="77777777" w:rsidR="005402EA" w:rsidRDefault="005402EA">
            <w:pPr>
              <w:spacing w:before="20" w:after="20"/>
              <w:rPr>
                <w:rFonts w:ascii="Calibri" w:hAnsi="Calibri" w:cs="Calibri"/>
                <w:b/>
                <w:bCs/>
                <w:color w:val="000000"/>
                <w:lang w:val="es-CL" w:eastAsia="es-CL"/>
              </w:rPr>
            </w:pPr>
            <w:r>
              <w:rPr>
                <w:rFonts w:ascii="Calibri" w:hAnsi="Calibri" w:cs="Calibri"/>
                <w:b/>
                <w:bCs/>
                <w:color w:val="000000"/>
                <w:lang w:val="es-CL" w:eastAsia="es-CL"/>
              </w:rPr>
              <w:t>Beneficios del Proyecto</w:t>
            </w:r>
          </w:p>
        </w:tc>
        <w:tc>
          <w:tcPr>
            <w:tcW w:w="7666" w:type="dxa"/>
            <w:tcBorders>
              <w:top w:val="single" w:sz="4" w:space="0" w:color="auto"/>
              <w:left w:val="single" w:sz="4" w:space="0" w:color="auto"/>
              <w:bottom w:val="single" w:sz="4" w:space="0" w:color="auto"/>
              <w:right w:val="single" w:sz="4" w:space="0" w:color="auto"/>
            </w:tcBorders>
            <w:vAlign w:val="center"/>
          </w:tcPr>
          <w:p w14:paraId="44A13A95" w14:textId="77777777" w:rsidR="005402EA" w:rsidRDefault="005402EA">
            <w:pPr>
              <w:widowControl w:val="0"/>
              <w:jc w:val="both"/>
              <w:rPr>
                <w:rFonts w:asciiTheme="minorHAnsi" w:eastAsiaTheme="minorHAnsi" w:hAnsiTheme="minorHAnsi" w:cs="Arial"/>
                <w:b/>
                <w:noProof/>
                <w:spacing w:val="-3"/>
                <w:lang w:val="es-CL" w:eastAsia="es-CL"/>
              </w:rPr>
            </w:pPr>
          </w:p>
          <w:p w14:paraId="78513BEB" w14:textId="77777777" w:rsidR="005402EA" w:rsidRDefault="005402EA">
            <w:pPr>
              <w:widowControl w:val="0"/>
              <w:jc w:val="both"/>
              <w:rPr>
                <w:rFonts w:cs="Arial"/>
                <w:noProof/>
                <w:spacing w:val="-3"/>
                <w:lang w:val="es-CL" w:eastAsia="es-CL"/>
              </w:rPr>
            </w:pPr>
            <w:r>
              <w:rPr>
                <w:rFonts w:cs="Arial"/>
                <w:b/>
                <w:noProof/>
                <w:spacing w:val="-3"/>
                <w:lang w:val="es-CL" w:eastAsia="es-CL"/>
              </w:rPr>
              <w:t>Regadío</w:t>
            </w:r>
            <w:r>
              <w:rPr>
                <w:rFonts w:cs="Arial"/>
                <w:noProof/>
                <w:spacing w:val="-3"/>
                <w:lang w:val="es-CL" w:eastAsia="es-CL"/>
              </w:rPr>
              <w:t>: El embalse, almacenará las aguas correspondientes a los Derechos de agua de propiedad de la DOH tanto del estero Las Palmas como del rio Petorca (a través del canal alimentador) y de los regantes del rio Petorca y del estero Las Palmas. Ha sido diseñado como de  regulación interanual, lo que significa que aprovechará los ciclos lluviosos para almacenar aguas y abastecer los períodos secos. Lo anterior  conforme lo muestran las estadísticas hidrológicas de la cuenca por más de 50 años.</w:t>
            </w:r>
          </w:p>
          <w:p w14:paraId="5F74A5BF" w14:textId="77777777" w:rsidR="005402EA" w:rsidRDefault="005402EA">
            <w:pPr>
              <w:widowControl w:val="0"/>
              <w:jc w:val="both"/>
              <w:rPr>
                <w:rFonts w:cs="Arial"/>
                <w:noProof/>
                <w:spacing w:val="-3"/>
                <w:lang w:val="es-CL" w:eastAsia="es-CL"/>
              </w:rPr>
            </w:pPr>
            <w:r>
              <w:rPr>
                <w:rFonts w:cs="Arial"/>
                <w:noProof/>
                <w:spacing w:val="-3"/>
                <w:lang w:val="es-CL" w:eastAsia="es-CL"/>
              </w:rPr>
              <w:t xml:space="preserve">La superficie de riego es de aproximadamente 3.000 ha, </w:t>
            </w:r>
            <w:r>
              <w:rPr>
                <w:rFonts w:cs="Arial"/>
                <w:noProof/>
                <w:spacing w:val="-3"/>
                <w:lang w:eastAsia="es-CL"/>
              </w:rPr>
              <w:t>, beneficiando 700 familias campesinas</w:t>
            </w:r>
            <w:r>
              <w:rPr>
                <w:rFonts w:cs="Arial"/>
                <w:noProof/>
                <w:spacing w:val="-3"/>
                <w:lang w:val="es-CL" w:eastAsia="es-CL"/>
              </w:rPr>
              <w:t xml:space="preserve">  y conforme el tipo de cultivos de la zona (plantaciones de paltos) se asume una demanda anual de agua para riego del orden de 20 millones de m3, resultando un sobrante anual  que servirá para suplir los déficit de años secos.</w:t>
            </w:r>
          </w:p>
          <w:p w14:paraId="19078880" w14:textId="77777777" w:rsidR="005402EA" w:rsidRDefault="005402EA">
            <w:pPr>
              <w:widowControl w:val="0"/>
              <w:jc w:val="both"/>
              <w:rPr>
                <w:rFonts w:cs="Arial"/>
                <w:lang w:val="es-CL" w:eastAsia="en-US"/>
              </w:rPr>
            </w:pPr>
            <w:r>
              <w:rPr>
                <w:rFonts w:cs="Arial"/>
                <w:b/>
                <w:noProof/>
                <w:spacing w:val="-3"/>
                <w:lang w:val="es-CL" w:eastAsia="es-CL"/>
              </w:rPr>
              <w:t>Agua para APR</w:t>
            </w:r>
            <w:r>
              <w:rPr>
                <w:rFonts w:cs="Arial"/>
                <w:noProof/>
                <w:spacing w:val="-3"/>
                <w:lang w:val="es-CL" w:eastAsia="es-CL"/>
              </w:rPr>
              <w:t xml:space="preserve">: </w:t>
            </w:r>
            <w:r>
              <w:rPr>
                <w:rFonts w:cs="Arial"/>
                <w:lang w:val="es-CL"/>
              </w:rPr>
              <w:t xml:space="preserve">Esta obra permitirá entregar agua para consumo humano a Servicios de APR de las localidades vecinas de </w:t>
            </w:r>
            <w:proofErr w:type="spellStart"/>
            <w:r>
              <w:rPr>
                <w:rFonts w:cs="Arial"/>
                <w:lang w:val="es-CL"/>
              </w:rPr>
              <w:t>Palquico</w:t>
            </w:r>
            <w:proofErr w:type="spellEnd"/>
            <w:r>
              <w:rPr>
                <w:rFonts w:cs="Arial"/>
                <w:lang w:val="es-CL"/>
              </w:rPr>
              <w:t>, Las Palmas y rural Papudo.</w:t>
            </w:r>
          </w:p>
          <w:p w14:paraId="510C507E" w14:textId="77777777" w:rsidR="005402EA" w:rsidRDefault="005402EA">
            <w:pPr>
              <w:suppressAutoHyphens/>
              <w:jc w:val="both"/>
              <w:rPr>
                <w:rFonts w:cs="Arial"/>
                <w:lang w:val="es-CL"/>
              </w:rPr>
            </w:pPr>
            <w:r>
              <w:rPr>
                <w:rFonts w:cs="Arial"/>
                <w:b/>
                <w:lang w:val="es-CL"/>
              </w:rPr>
              <w:t>Plan de Reasentamiento:</w:t>
            </w:r>
            <w:r>
              <w:rPr>
                <w:rFonts w:cs="Arial"/>
                <w:lang w:val="es-CL"/>
              </w:rPr>
              <w:t xml:space="preserve"> El proyecto cuenta con RCA 413/2016 que considera, entre otros, lo siguiente:</w:t>
            </w:r>
          </w:p>
          <w:p w14:paraId="6078E23D" w14:textId="77777777" w:rsidR="005402EA" w:rsidRDefault="005402EA" w:rsidP="005402EA">
            <w:pPr>
              <w:pStyle w:val="Prrafodelista"/>
              <w:numPr>
                <w:ilvl w:val="0"/>
                <w:numId w:val="28"/>
              </w:numPr>
              <w:suppressAutoHyphens/>
              <w:contextualSpacing/>
              <w:jc w:val="both"/>
              <w:rPr>
                <w:rFonts w:cs="Arial"/>
                <w:lang w:val="es-CL"/>
              </w:rPr>
            </w:pPr>
            <w:r>
              <w:rPr>
                <w:rFonts w:cs="Arial"/>
                <w:lang w:val="es-CL"/>
              </w:rPr>
              <w:t xml:space="preserve">Entrega de soluciones habitacionales a las familias ocupantes de terrenos que fueron expropiados. En efecto, 7 familias serán beneficiadas con casa y terreno de 5.000 m2 a construir en la localidad de </w:t>
            </w:r>
            <w:proofErr w:type="spellStart"/>
            <w:r>
              <w:rPr>
                <w:rFonts w:cs="Arial"/>
                <w:lang w:val="es-CL"/>
              </w:rPr>
              <w:t>Palquico</w:t>
            </w:r>
            <w:proofErr w:type="spellEnd"/>
            <w:r>
              <w:rPr>
                <w:rFonts w:cs="Arial"/>
                <w:lang w:val="es-CL"/>
              </w:rPr>
              <w:t>. Para su materialización, se está a la espera de aprobación por parte del SAG, del plano de subdivisión que entregará Lotes a cada reasentado.</w:t>
            </w:r>
          </w:p>
          <w:p w14:paraId="188C30A7" w14:textId="77777777" w:rsidR="005402EA" w:rsidRDefault="005402EA" w:rsidP="005402EA">
            <w:pPr>
              <w:pStyle w:val="Prrafodelista"/>
              <w:numPr>
                <w:ilvl w:val="0"/>
                <w:numId w:val="28"/>
              </w:numPr>
              <w:suppressAutoHyphens/>
              <w:contextualSpacing/>
              <w:jc w:val="both"/>
              <w:rPr>
                <w:rFonts w:cs="Arial"/>
                <w:lang w:val="es-CL"/>
              </w:rPr>
            </w:pPr>
            <w:r>
              <w:rPr>
                <w:rFonts w:cs="Arial"/>
                <w:lang w:val="es-CL"/>
              </w:rPr>
              <w:t xml:space="preserve">Capacitaciones: La RCA 413/2016 consulta la realización de Cursos de Capacitación a familias erradicadas y expropiadas para trabajos en obras del embalse. A la fecha, se han dictados cursos de soldadura y </w:t>
            </w:r>
            <w:proofErr w:type="spellStart"/>
            <w:r>
              <w:rPr>
                <w:rFonts w:cs="Arial"/>
                <w:lang w:val="es-CL"/>
              </w:rPr>
              <w:t>enfierradura</w:t>
            </w:r>
            <w:proofErr w:type="spellEnd"/>
            <w:r>
              <w:rPr>
                <w:rFonts w:cs="Arial"/>
                <w:lang w:val="es-CL"/>
              </w:rPr>
              <w:t xml:space="preserve">. Producto de la pandemia que afecta a nivel mundial se detuvo las capacitaciones, por lo que se realizará un levantamiento para capacitaciones considerando el avance de la obra y sus necesidades con el fin que dichas </w:t>
            </w:r>
            <w:r>
              <w:rPr>
                <w:rFonts w:cs="Arial"/>
                <w:lang w:val="es-CL"/>
              </w:rPr>
              <w:lastRenderedPageBreak/>
              <w:t>capacitaciones sean acordes y tengan la posibilidad real de incorporarse laboralmente a la obra.</w:t>
            </w:r>
          </w:p>
          <w:p w14:paraId="55333F1F" w14:textId="77777777" w:rsidR="005402EA" w:rsidRDefault="005402EA" w:rsidP="005402EA">
            <w:pPr>
              <w:pStyle w:val="Prrafodelista"/>
              <w:numPr>
                <w:ilvl w:val="0"/>
                <w:numId w:val="28"/>
              </w:numPr>
              <w:suppressAutoHyphens/>
              <w:contextualSpacing/>
              <w:jc w:val="both"/>
              <w:rPr>
                <w:rFonts w:cs="Arial"/>
                <w:lang w:val="es-CL"/>
              </w:rPr>
            </w:pPr>
            <w:r>
              <w:rPr>
                <w:rFonts w:cs="Arial"/>
                <w:lang w:val="es-CL"/>
              </w:rPr>
              <w:t xml:space="preserve">Convenio Marco con la I. Municipalidad de Petorca: En el año 2019 se firmó Convenio OMIL - Sociedad Concesionaria para la contratación de mano de obra local. A la fecha se mantiene coordinación para la contratación de mano de obra local y aledaños. </w:t>
            </w:r>
          </w:p>
          <w:p w14:paraId="2A097AE7" w14:textId="77777777" w:rsidR="005402EA" w:rsidRDefault="005402EA">
            <w:pPr>
              <w:suppressAutoHyphens/>
              <w:jc w:val="both"/>
              <w:rPr>
                <w:rFonts w:cs="Arial"/>
                <w:lang w:val="es-CL"/>
              </w:rPr>
            </w:pPr>
          </w:p>
          <w:p w14:paraId="48BCC64F" w14:textId="77777777" w:rsidR="005402EA" w:rsidRDefault="005402EA">
            <w:pPr>
              <w:pStyle w:val="Prrafodelista"/>
              <w:suppressAutoHyphens/>
              <w:jc w:val="both"/>
              <w:rPr>
                <w:rFonts w:cs="Arial"/>
                <w:lang w:val="es-CL"/>
              </w:rPr>
            </w:pPr>
          </w:p>
          <w:p w14:paraId="0D10AF1A" w14:textId="77777777" w:rsidR="005402EA" w:rsidRDefault="005402EA">
            <w:pPr>
              <w:suppressAutoHyphens/>
              <w:jc w:val="both"/>
              <w:rPr>
                <w:rFonts w:cs="Arial"/>
                <w:lang w:val="es-CL"/>
              </w:rPr>
            </w:pPr>
            <w:r>
              <w:rPr>
                <w:rFonts w:cs="Arial"/>
                <w:b/>
                <w:lang w:val="es-CL"/>
              </w:rPr>
              <w:t xml:space="preserve">Nuevo ecosistema: </w:t>
            </w:r>
            <w:r>
              <w:rPr>
                <w:rFonts w:cs="Arial"/>
                <w:lang w:val="es-CL"/>
              </w:rPr>
              <w:t xml:space="preserve">El espejo de agua generará una plataforma ecológica para formar un nuevo ecosistema rico en especies de flora y fauna, ya que se enriquecerán y compensarán 90 hectáreas, con especies de flora tales como palmas chilenas y guayacanes. Este nuevo ecosistema húmedo permitirá regular el microclima de la zona, aumentará la calidad visual paisajística, generación de nuevo hábitat para especies de ave fauna y especies acuáticos. </w:t>
            </w:r>
          </w:p>
          <w:p w14:paraId="541A2939" w14:textId="77777777" w:rsidR="005402EA" w:rsidRDefault="005402EA">
            <w:pPr>
              <w:suppressAutoHyphens/>
              <w:jc w:val="both"/>
              <w:rPr>
                <w:rFonts w:cs="Arial"/>
                <w:lang w:val="es-ES"/>
              </w:rPr>
            </w:pPr>
            <w:r>
              <w:rPr>
                <w:rFonts w:cs="Arial"/>
                <w:b/>
                <w:lang w:val="es-CL"/>
              </w:rPr>
              <w:t xml:space="preserve">Otros beneficios ambientales: </w:t>
            </w:r>
            <w:r>
              <w:rPr>
                <w:rFonts w:cs="Arial"/>
                <w:lang w:val="es-CL"/>
              </w:rPr>
              <w:t>Generación</w:t>
            </w:r>
            <w:r>
              <w:rPr>
                <w:rFonts w:cs="Arial"/>
              </w:rPr>
              <w:t xml:space="preserve"> de 200 puestos de trabajo directo y alrededor de 600 trabajos indirectos.</w:t>
            </w:r>
          </w:p>
          <w:p w14:paraId="0AAC5311" w14:textId="77777777" w:rsidR="005402EA" w:rsidRDefault="005402EA">
            <w:pPr>
              <w:suppressAutoHyphens/>
              <w:jc w:val="both"/>
              <w:rPr>
                <w:rFonts w:cs="Arial"/>
              </w:rPr>
            </w:pPr>
            <w:r>
              <w:rPr>
                <w:rFonts w:cs="Arial"/>
              </w:rPr>
              <w:t xml:space="preserve">También, este proyecto mejorará la calidad de vida de los afectados, al considerar la construcción de una Villa con viviendas de alto estándar en un lugar cercano a sus antiguas viviendas y con la infraestructura de Servicios Básicos asegurados (Posta, Colegios, caminos asfaltados, APR), además de un acompañamiento a las familias mediante la ejecución de una Plan de Manejo Social durante 5 años, conforme a lo establecido en la RCA.   </w:t>
            </w:r>
          </w:p>
        </w:tc>
      </w:tr>
      <w:tr w:rsidR="005402EA" w14:paraId="764C7390" w14:textId="77777777" w:rsidTr="005402EA">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39C92FE9" w14:textId="77777777" w:rsidR="005402EA" w:rsidRDefault="005402EA">
            <w:pPr>
              <w:rPr>
                <w:rFonts w:ascii="Calibri" w:hAnsi="Calibri" w:cs="Calibri"/>
                <w:b/>
                <w:bCs/>
                <w:color w:val="000000"/>
                <w:lang w:val="es-CL" w:eastAsia="es-CL"/>
              </w:rPr>
            </w:pPr>
            <w:r>
              <w:rPr>
                <w:rFonts w:ascii="Calibri" w:hAnsi="Calibri" w:cs="Calibri"/>
                <w:b/>
                <w:bCs/>
                <w:color w:val="000000"/>
                <w:lang w:val="es-CL" w:eastAsia="es-CL"/>
              </w:rPr>
              <w:lastRenderedPageBreak/>
              <w:t>Plazos</w:t>
            </w:r>
          </w:p>
        </w:tc>
        <w:tc>
          <w:tcPr>
            <w:tcW w:w="7666" w:type="dxa"/>
            <w:tcBorders>
              <w:top w:val="single" w:sz="4" w:space="0" w:color="auto"/>
              <w:left w:val="single" w:sz="4" w:space="0" w:color="auto"/>
              <w:bottom w:val="single" w:sz="4" w:space="0" w:color="auto"/>
              <w:right w:val="single" w:sz="4" w:space="0" w:color="auto"/>
            </w:tcBorders>
            <w:vAlign w:val="center"/>
          </w:tcPr>
          <w:p w14:paraId="763FD515" w14:textId="77777777" w:rsidR="005402EA" w:rsidRDefault="005402EA">
            <w:pPr>
              <w:rPr>
                <w:rFonts w:ascii="Calibri" w:hAnsi="Calibri" w:cs="Calibri"/>
                <w:lang w:val="es-CL" w:eastAsia="es-CL"/>
              </w:rPr>
            </w:pPr>
            <w:r>
              <w:rPr>
                <w:rFonts w:ascii="Calibri" w:hAnsi="Calibri" w:cs="Calibri"/>
                <w:lang w:val="es-CL" w:eastAsia="es-CL"/>
              </w:rPr>
              <w:t xml:space="preserve"> </w:t>
            </w:r>
          </w:p>
          <w:p w14:paraId="09DE85DC" w14:textId="77777777" w:rsidR="005402EA" w:rsidRDefault="005402EA">
            <w:pPr>
              <w:rPr>
                <w:rFonts w:ascii="Arial" w:eastAsiaTheme="minorHAnsi" w:hAnsi="Arial" w:cs="Arial"/>
                <w:lang w:val="es-ES" w:eastAsia="en-US"/>
              </w:rPr>
            </w:pPr>
            <w:r>
              <w:rPr>
                <w:rFonts w:ascii="Arial" w:hAnsi="Arial" w:cs="Arial"/>
              </w:rPr>
              <w:t xml:space="preserve">Plazos Máximos y Porcentajes Mínimos de las Declaraciones de Avance de Obras  </w:t>
            </w:r>
          </w:p>
          <w:p w14:paraId="38C20CE2" w14:textId="77777777" w:rsidR="005402EA" w:rsidRDefault="005402EA">
            <w:pPr>
              <w:rPr>
                <w:rFonts w:ascii="Arial" w:hAnsi="Arial" w:cs="Arial"/>
              </w:rPr>
            </w:pPr>
          </w:p>
          <w:tbl>
            <w:tblPr>
              <w:tblStyle w:val="Tablaconcuadrcula10"/>
              <w:tblW w:w="4185" w:type="dxa"/>
              <w:jc w:val="center"/>
              <w:tblInd w:w="0" w:type="dxa"/>
              <w:tblLayout w:type="fixed"/>
              <w:tblLook w:val="04A0" w:firstRow="1" w:lastRow="0" w:firstColumn="1" w:lastColumn="0" w:noHBand="0" w:noVBand="1"/>
            </w:tblPr>
            <w:tblGrid>
              <w:gridCol w:w="1703"/>
              <w:gridCol w:w="2482"/>
            </w:tblGrid>
            <w:tr w:rsidR="005402EA" w14:paraId="05397D27" w14:textId="77777777">
              <w:trPr>
                <w:trHeight w:val="680"/>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750A47" w14:textId="77777777" w:rsidR="005402EA" w:rsidRDefault="005402EA" w:rsidP="004D54FD">
                  <w:pPr>
                    <w:framePr w:hSpace="142" w:wrap="around" w:vAnchor="text" w:hAnchor="margin" w:xAlign="center" w:y="1"/>
                    <w:suppressOverlap/>
                    <w:jc w:val="center"/>
                    <w:rPr>
                      <w:rFonts w:ascii="Arial" w:hAnsi="Arial" w:cs="Arial"/>
                      <w:lang w:eastAsia="es-CL"/>
                    </w:rPr>
                  </w:pPr>
                  <w:r>
                    <w:rPr>
                      <w:rFonts w:ascii="Arial" w:hAnsi="Arial" w:cs="Arial"/>
                      <w:lang w:eastAsia="es-CL"/>
                    </w:rPr>
                    <w:t>Hito</w:t>
                  </w:r>
                </w:p>
              </w:tc>
              <w:tc>
                <w:tcPr>
                  <w:tcW w:w="2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806E8" w14:textId="77777777" w:rsidR="005402EA" w:rsidRDefault="005402EA" w:rsidP="004D54FD">
                  <w:pPr>
                    <w:framePr w:hSpace="142" w:wrap="around" w:vAnchor="text" w:hAnchor="margin" w:xAlign="center" w:y="1"/>
                    <w:suppressOverlap/>
                    <w:jc w:val="center"/>
                    <w:rPr>
                      <w:rFonts w:ascii="Arial" w:hAnsi="Arial" w:cs="Arial"/>
                      <w:lang w:eastAsia="es-CL"/>
                    </w:rPr>
                  </w:pPr>
                  <w:r>
                    <w:rPr>
                      <w:rFonts w:ascii="Arial" w:hAnsi="Arial" w:cs="Arial"/>
                      <w:lang w:eastAsia="es-CL"/>
                    </w:rPr>
                    <w:t>Plazo</w:t>
                  </w:r>
                </w:p>
                <w:p w14:paraId="24CDC634" w14:textId="77777777" w:rsidR="005402EA" w:rsidRDefault="005402EA" w:rsidP="004D54FD">
                  <w:pPr>
                    <w:framePr w:hSpace="142" w:wrap="around" w:vAnchor="text" w:hAnchor="margin" w:xAlign="center" w:y="1"/>
                    <w:suppressOverlap/>
                    <w:jc w:val="center"/>
                    <w:rPr>
                      <w:rFonts w:ascii="Arial" w:hAnsi="Arial" w:cs="Arial"/>
                      <w:lang w:eastAsia="es-CL"/>
                    </w:rPr>
                  </w:pPr>
                  <w:r>
                    <w:rPr>
                      <w:rFonts w:ascii="Arial" w:hAnsi="Arial" w:cs="Arial"/>
                      <w:lang w:eastAsia="es-CL"/>
                    </w:rPr>
                    <w:t>Máximo (1)</w:t>
                  </w:r>
                </w:p>
              </w:tc>
            </w:tr>
            <w:tr w:rsidR="005402EA" w14:paraId="6935F6DB"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98306DB" w14:textId="77777777" w:rsidR="005402EA" w:rsidRDefault="005402EA" w:rsidP="004D54FD">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 xml:space="preserve">4% </w:t>
                  </w:r>
                </w:p>
              </w:tc>
              <w:tc>
                <w:tcPr>
                  <w:tcW w:w="2478" w:type="dxa"/>
                  <w:tcBorders>
                    <w:top w:val="single" w:sz="4" w:space="0" w:color="auto"/>
                    <w:left w:val="single" w:sz="4" w:space="0" w:color="auto"/>
                    <w:bottom w:val="single" w:sz="4" w:space="0" w:color="auto"/>
                    <w:right w:val="single" w:sz="4" w:space="0" w:color="auto"/>
                  </w:tcBorders>
                  <w:vAlign w:val="center"/>
                  <w:hideMark/>
                </w:tcPr>
                <w:p w14:paraId="02AAB031" w14:textId="77777777" w:rsidR="005402EA" w:rsidRDefault="005402EA" w:rsidP="004D54FD">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Mes 30</w:t>
                  </w:r>
                </w:p>
              </w:tc>
            </w:tr>
            <w:tr w:rsidR="005402EA" w14:paraId="40EB9852"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64C0C19" w14:textId="77777777" w:rsidR="005402EA" w:rsidRDefault="005402EA" w:rsidP="004D54FD">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30%</w:t>
                  </w:r>
                </w:p>
              </w:tc>
              <w:tc>
                <w:tcPr>
                  <w:tcW w:w="2478" w:type="dxa"/>
                  <w:tcBorders>
                    <w:top w:val="single" w:sz="4" w:space="0" w:color="auto"/>
                    <w:left w:val="single" w:sz="4" w:space="0" w:color="auto"/>
                    <w:bottom w:val="single" w:sz="4" w:space="0" w:color="auto"/>
                    <w:right w:val="single" w:sz="4" w:space="0" w:color="auto"/>
                  </w:tcBorders>
                  <w:vAlign w:val="center"/>
                  <w:hideMark/>
                </w:tcPr>
                <w:p w14:paraId="3E78F213" w14:textId="77777777" w:rsidR="005402EA" w:rsidRDefault="005402EA" w:rsidP="004D54FD">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Mes 47</w:t>
                  </w:r>
                </w:p>
              </w:tc>
            </w:tr>
            <w:tr w:rsidR="005402EA" w14:paraId="033F3F5A"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93F5E54" w14:textId="77777777" w:rsidR="005402EA" w:rsidRDefault="005402EA" w:rsidP="004D54FD">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50%</w:t>
                  </w:r>
                </w:p>
              </w:tc>
              <w:tc>
                <w:tcPr>
                  <w:tcW w:w="2478" w:type="dxa"/>
                  <w:tcBorders>
                    <w:top w:val="single" w:sz="4" w:space="0" w:color="auto"/>
                    <w:left w:val="single" w:sz="4" w:space="0" w:color="auto"/>
                    <w:bottom w:val="single" w:sz="4" w:space="0" w:color="auto"/>
                    <w:right w:val="single" w:sz="4" w:space="0" w:color="auto"/>
                  </w:tcBorders>
                  <w:vAlign w:val="center"/>
                  <w:hideMark/>
                </w:tcPr>
                <w:p w14:paraId="7F127C80" w14:textId="77777777" w:rsidR="005402EA" w:rsidRDefault="005402EA" w:rsidP="004D54FD">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Mes 55</w:t>
                  </w:r>
                </w:p>
              </w:tc>
            </w:tr>
            <w:tr w:rsidR="005402EA" w14:paraId="5963EE94"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C6E151F" w14:textId="77777777" w:rsidR="005402EA" w:rsidRDefault="005402EA" w:rsidP="004D54FD">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70%</w:t>
                  </w:r>
                </w:p>
              </w:tc>
              <w:tc>
                <w:tcPr>
                  <w:tcW w:w="2478" w:type="dxa"/>
                  <w:tcBorders>
                    <w:top w:val="single" w:sz="4" w:space="0" w:color="auto"/>
                    <w:left w:val="single" w:sz="4" w:space="0" w:color="auto"/>
                    <w:bottom w:val="single" w:sz="4" w:space="0" w:color="auto"/>
                    <w:right w:val="single" w:sz="4" w:space="0" w:color="auto"/>
                  </w:tcBorders>
                  <w:vAlign w:val="center"/>
                  <w:hideMark/>
                </w:tcPr>
                <w:p w14:paraId="162D0D4D" w14:textId="77777777" w:rsidR="005402EA" w:rsidRDefault="005402EA" w:rsidP="004D54FD">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Mes 63</w:t>
                  </w:r>
                </w:p>
              </w:tc>
            </w:tr>
            <w:tr w:rsidR="005402EA" w14:paraId="5826FE8E"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9C49907" w14:textId="77777777" w:rsidR="005402EA" w:rsidRDefault="005402EA" w:rsidP="004D54FD">
                  <w:pPr>
                    <w:framePr w:hSpace="142" w:wrap="around" w:vAnchor="text" w:hAnchor="margin" w:xAlign="center" w:y="1"/>
                    <w:spacing w:line="200" w:lineRule="exact"/>
                    <w:suppressOverlap/>
                    <w:jc w:val="center"/>
                    <w:rPr>
                      <w:rFonts w:ascii="Arial" w:hAnsi="Arial" w:cs="Arial"/>
                      <w:lang w:val="es-CL" w:eastAsia="es-CL"/>
                    </w:rPr>
                  </w:pPr>
                  <w:r>
                    <w:rPr>
                      <w:rFonts w:ascii="Arial" w:hAnsi="Arial" w:cs="Arial"/>
                      <w:lang w:val="es-CL" w:eastAsia="es-CL"/>
                    </w:rPr>
                    <w:t xml:space="preserve">90% </w:t>
                  </w:r>
                </w:p>
              </w:tc>
              <w:tc>
                <w:tcPr>
                  <w:tcW w:w="2478" w:type="dxa"/>
                  <w:tcBorders>
                    <w:top w:val="single" w:sz="4" w:space="0" w:color="auto"/>
                    <w:left w:val="single" w:sz="4" w:space="0" w:color="auto"/>
                    <w:bottom w:val="single" w:sz="4" w:space="0" w:color="auto"/>
                    <w:right w:val="single" w:sz="4" w:space="0" w:color="auto"/>
                  </w:tcBorders>
                  <w:vAlign w:val="center"/>
                  <w:hideMark/>
                </w:tcPr>
                <w:p w14:paraId="362F85A6" w14:textId="77777777" w:rsidR="005402EA" w:rsidRDefault="005402EA" w:rsidP="004D54FD">
                  <w:pPr>
                    <w:framePr w:hSpace="142" w:wrap="around" w:vAnchor="text" w:hAnchor="margin" w:xAlign="center" w:y="1"/>
                    <w:spacing w:line="200" w:lineRule="exact"/>
                    <w:suppressOverlap/>
                    <w:jc w:val="center"/>
                    <w:rPr>
                      <w:rFonts w:ascii="Arial" w:hAnsi="Arial" w:cs="Arial"/>
                      <w:lang w:val="es-CL" w:eastAsia="es-CL"/>
                    </w:rPr>
                  </w:pPr>
                  <w:r>
                    <w:rPr>
                      <w:rFonts w:ascii="Arial" w:hAnsi="Arial" w:cs="Arial"/>
                      <w:lang w:val="es-CL" w:eastAsia="es-CL"/>
                    </w:rPr>
                    <w:t>Mes 70</w:t>
                  </w:r>
                </w:p>
              </w:tc>
            </w:tr>
            <w:tr w:rsidR="005402EA" w14:paraId="510FB955"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B0071D6" w14:textId="77777777" w:rsidR="005402EA" w:rsidRDefault="005402EA" w:rsidP="004D54FD">
                  <w:pPr>
                    <w:framePr w:hSpace="142" w:wrap="around" w:vAnchor="text" w:hAnchor="margin" w:xAlign="center" w:y="1"/>
                    <w:spacing w:line="200" w:lineRule="exact"/>
                    <w:suppressOverlap/>
                    <w:jc w:val="center"/>
                    <w:rPr>
                      <w:rFonts w:ascii="Arial" w:hAnsi="Arial" w:cs="Arial"/>
                      <w:lang w:val="es-ES" w:eastAsia="es-CL"/>
                    </w:rPr>
                  </w:pPr>
                  <w:r>
                    <w:rPr>
                      <w:rFonts w:ascii="Arial" w:hAnsi="Arial" w:cs="Arial"/>
                      <w:lang w:eastAsia="es-CL"/>
                    </w:rPr>
                    <w:t>PSP</w:t>
                  </w:r>
                </w:p>
              </w:tc>
              <w:tc>
                <w:tcPr>
                  <w:tcW w:w="2478" w:type="dxa"/>
                  <w:tcBorders>
                    <w:top w:val="single" w:sz="4" w:space="0" w:color="auto"/>
                    <w:left w:val="single" w:sz="4" w:space="0" w:color="auto"/>
                    <w:bottom w:val="single" w:sz="4" w:space="0" w:color="auto"/>
                    <w:right w:val="single" w:sz="4" w:space="0" w:color="auto"/>
                  </w:tcBorders>
                  <w:vAlign w:val="center"/>
                  <w:hideMark/>
                </w:tcPr>
                <w:p w14:paraId="0B1C204C" w14:textId="77777777" w:rsidR="005402EA" w:rsidRDefault="005402EA" w:rsidP="004D54FD">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 xml:space="preserve">84 meses </w:t>
                  </w:r>
                  <w:proofErr w:type="gramStart"/>
                  <w:r>
                    <w:rPr>
                      <w:rFonts w:ascii="Arial" w:hAnsi="Arial" w:cs="Arial"/>
                      <w:lang w:eastAsia="es-CL"/>
                    </w:rPr>
                    <w:t>( mayo</w:t>
                  </w:r>
                  <w:proofErr w:type="gramEnd"/>
                  <w:r>
                    <w:rPr>
                      <w:rFonts w:ascii="Arial" w:hAnsi="Arial" w:cs="Arial"/>
                      <w:lang w:eastAsia="es-CL"/>
                    </w:rPr>
                    <w:t xml:space="preserve"> 2025)</w:t>
                  </w:r>
                </w:p>
              </w:tc>
            </w:tr>
          </w:tbl>
          <w:p w14:paraId="6345D4C8" w14:textId="77777777" w:rsidR="005402EA" w:rsidRDefault="005402EA">
            <w:pPr>
              <w:rPr>
                <w:rFonts w:ascii="Calibri" w:hAnsi="Calibri" w:cs="Calibri"/>
                <w:lang w:val="es-CL" w:eastAsia="es-CL"/>
              </w:rPr>
            </w:pPr>
          </w:p>
          <w:p w14:paraId="0900F3DF" w14:textId="77777777" w:rsidR="005402EA" w:rsidRDefault="005402EA">
            <w:pPr>
              <w:rPr>
                <w:rFonts w:ascii="Calibri" w:hAnsi="Calibri" w:cs="Calibri"/>
                <w:lang w:val="es-CL" w:eastAsia="es-CL"/>
              </w:rPr>
            </w:pPr>
            <w:r>
              <w:rPr>
                <w:rFonts w:ascii="Calibri" w:hAnsi="Calibri" w:cs="Calibri"/>
                <w:lang w:val="es-CL" w:eastAsia="es-CL"/>
              </w:rPr>
              <w:t>Nota 1: Los plazos antes indicados, se contabilizan a partir de la publicación en el D.O. del D.S. de adjudicación del contrato de concesión (04.05.2018).</w:t>
            </w:r>
          </w:p>
          <w:p w14:paraId="0498651E" w14:textId="77777777" w:rsidR="005402EA" w:rsidRDefault="005402EA">
            <w:pPr>
              <w:rPr>
                <w:rFonts w:ascii="Calibri" w:hAnsi="Calibri" w:cs="Calibri"/>
                <w:lang w:val="es-CL" w:eastAsia="es-CL"/>
              </w:rPr>
            </w:pPr>
          </w:p>
          <w:p w14:paraId="656BDEBA" w14:textId="77777777" w:rsidR="005402EA" w:rsidRDefault="005402EA">
            <w:pPr>
              <w:rPr>
                <w:rFonts w:ascii="Calibri" w:hAnsi="Calibri" w:cs="Calibri"/>
                <w:lang w:val="es-CL" w:eastAsia="es-CL"/>
              </w:rPr>
            </w:pPr>
            <w:r>
              <w:rPr>
                <w:rFonts w:ascii="Calibri" w:hAnsi="Calibri" w:cs="Calibri"/>
                <w:lang w:val="es-CL" w:eastAsia="es-CL"/>
              </w:rPr>
              <w:t>Nota 2: Todas las declaraciones de avance deberán ser sometidas a aprobación del Inspector Fiscal.</w:t>
            </w:r>
          </w:p>
        </w:tc>
      </w:tr>
      <w:tr w:rsidR="005402EA" w14:paraId="0CC991CE" w14:textId="77777777" w:rsidTr="005402EA">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6DFA4E06" w14:textId="77777777" w:rsidR="005402EA" w:rsidRDefault="005402EA">
            <w:pPr>
              <w:rPr>
                <w:rFonts w:ascii="Calibri" w:hAnsi="Calibri" w:cs="Calibri"/>
                <w:b/>
                <w:bCs/>
                <w:color w:val="000000"/>
                <w:lang w:val="es-CL" w:eastAsia="es-CL"/>
              </w:rPr>
            </w:pPr>
            <w:r>
              <w:rPr>
                <w:rFonts w:ascii="Calibri" w:hAnsi="Calibri" w:cs="Calibri"/>
                <w:b/>
                <w:bCs/>
                <w:color w:val="000000"/>
                <w:lang w:val="es-CL" w:eastAsia="es-CL"/>
              </w:rPr>
              <w:t>Estado de avance del Contrato</w:t>
            </w:r>
          </w:p>
        </w:tc>
        <w:tc>
          <w:tcPr>
            <w:tcW w:w="7666" w:type="dxa"/>
            <w:tcBorders>
              <w:top w:val="single" w:sz="4" w:space="0" w:color="auto"/>
              <w:left w:val="single" w:sz="4" w:space="0" w:color="auto"/>
              <w:bottom w:val="single" w:sz="4" w:space="0" w:color="auto"/>
              <w:right w:val="single" w:sz="4" w:space="0" w:color="auto"/>
            </w:tcBorders>
            <w:vAlign w:val="center"/>
            <w:hideMark/>
          </w:tcPr>
          <w:p w14:paraId="36903FFB" w14:textId="77777777" w:rsidR="005402EA" w:rsidRDefault="005402EA">
            <w:pPr>
              <w:spacing w:before="120" w:after="120" w:line="240" w:lineRule="exact"/>
              <w:jc w:val="both"/>
              <w:rPr>
                <w:rFonts w:ascii="Calibri" w:eastAsiaTheme="minorHAnsi" w:hAnsi="Calibri" w:cs="Calibri"/>
                <w:lang w:val="es-ES" w:eastAsia="en-US"/>
              </w:rPr>
            </w:pPr>
            <w:r>
              <w:rPr>
                <w:rFonts w:ascii="Calibri" w:hAnsi="Calibri" w:cs="Calibri"/>
              </w:rPr>
              <w:t>A la fecha, el avance de las obras corresponde a un 17,51% aproximadamente</w:t>
            </w:r>
          </w:p>
          <w:p w14:paraId="56F34724" w14:textId="77777777" w:rsidR="005402EA" w:rsidRDefault="005402EA">
            <w:pPr>
              <w:jc w:val="both"/>
              <w:rPr>
                <w:rFonts w:ascii="Calibri" w:hAnsi="Calibri" w:cs="Calibri"/>
              </w:rPr>
            </w:pPr>
            <w:r>
              <w:rPr>
                <w:rFonts w:ascii="Calibri" w:hAnsi="Calibri" w:cs="Calibri"/>
              </w:rPr>
              <w:t>Se trabaja actualmente en:</w:t>
            </w:r>
          </w:p>
          <w:p w14:paraId="4DFD0A71" w14:textId="77777777" w:rsidR="005402EA" w:rsidRDefault="005402EA" w:rsidP="005402EA">
            <w:pPr>
              <w:numPr>
                <w:ilvl w:val="0"/>
                <w:numId w:val="29"/>
              </w:numPr>
              <w:spacing w:line="276" w:lineRule="auto"/>
              <w:jc w:val="both"/>
              <w:rPr>
                <w:rFonts w:ascii="Calibri" w:hAnsi="Calibri" w:cs="Calibri"/>
              </w:rPr>
            </w:pPr>
            <w:r>
              <w:rPr>
                <w:rFonts w:ascii="Calibri" w:hAnsi="Calibri" w:cs="Calibri"/>
              </w:rPr>
              <w:t>Excavación subterránea y fortificación por portal entrada y portal salida del túnel de desvío.</w:t>
            </w:r>
          </w:p>
          <w:p w14:paraId="7F866D22" w14:textId="77777777" w:rsidR="005402EA" w:rsidRDefault="005402EA" w:rsidP="005402EA">
            <w:pPr>
              <w:numPr>
                <w:ilvl w:val="0"/>
                <w:numId w:val="29"/>
              </w:numPr>
              <w:spacing w:line="276" w:lineRule="auto"/>
              <w:jc w:val="both"/>
              <w:rPr>
                <w:rFonts w:ascii="Calibri" w:hAnsi="Calibri" w:cs="Calibri"/>
              </w:rPr>
            </w:pPr>
            <w:r>
              <w:rPr>
                <w:rFonts w:ascii="Calibri" w:hAnsi="Calibri" w:cs="Calibri"/>
              </w:rPr>
              <w:t>Plinto Izquierdo con 99,1% de avance en excavación en zanja. Recibido hasta el DM 200, luego de visita de especialista a principios de 2021</w:t>
            </w:r>
          </w:p>
          <w:p w14:paraId="6315BA9E" w14:textId="77777777" w:rsidR="005402EA" w:rsidRDefault="005402EA" w:rsidP="005402EA">
            <w:pPr>
              <w:numPr>
                <w:ilvl w:val="0"/>
                <w:numId w:val="29"/>
              </w:numPr>
              <w:spacing w:line="276" w:lineRule="auto"/>
              <w:jc w:val="both"/>
              <w:rPr>
                <w:rFonts w:ascii="Calibri" w:hAnsi="Calibri" w:cs="Calibri"/>
              </w:rPr>
            </w:pPr>
            <w:r>
              <w:rPr>
                <w:rFonts w:ascii="Calibri" w:hAnsi="Calibri" w:cs="Calibri"/>
              </w:rPr>
              <w:t>Plinto Valle con 100% de avance en excavación en zanja. A la fecha no se ha realizado visita de especialista, por tanto, carece de recepción de sello.</w:t>
            </w:r>
          </w:p>
          <w:p w14:paraId="53A5369C" w14:textId="77777777" w:rsidR="005402EA" w:rsidRDefault="005402EA" w:rsidP="005402EA">
            <w:pPr>
              <w:numPr>
                <w:ilvl w:val="0"/>
                <w:numId w:val="29"/>
              </w:numPr>
              <w:spacing w:line="276" w:lineRule="auto"/>
              <w:jc w:val="both"/>
              <w:rPr>
                <w:rFonts w:ascii="Calibri" w:hAnsi="Calibri" w:cs="Calibri"/>
              </w:rPr>
            </w:pPr>
            <w:r>
              <w:rPr>
                <w:rFonts w:ascii="Calibri" w:hAnsi="Calibri" w:cs="Calibri"/>
              </w:rPr>
              <w:t xml:space="preserve">Plinto Derecho con 98,9% de avance en excavación en zanja. A la fecha no se ha realizado visita de especialista, por tanto, carece de recepción de sello.  </w:t>
            </w:r>
          </w:p>
          <w:p w14:paraId="042CD824" w14:textId="77777777" w:rsidR="005402EA" w:rsidRDefault="005402EA" w:rsidP="005402EA">
            <w:pPr>
              <w:numPr>
                <w:ilvl w:val="0"/>
                <w:numId w:val="29"/>
              </w:numPr>
              <w:spacing w:line="276" w:lineRule="auto"/>
              <w:jc w:val="both"/>
              <w:rPr>
                <w:rFonts w:ascii="Calibri" w:hAnsi="Calibri" w:cs="Calibri"/>
              </w:rPr>
            </w:pPr>
            <w:r>
              <w:rPr>
                <w:rFonts w:ascii="Calibri" w:hAnsi="Calibri" w:cs="Calibri"/>
              </w:rPr>
              <w:t>Excavación abierta en roca de evacuador de crecidas.</w:t>
            </w:r>
          </w:p>
          <w:p w14:paraId="476C8BE8" w14:textId="77777777" w:rsidR="005402EA" w:rsidRDefault="005402EA" w:rsidP="005402EA">
            <w:pPr>
              <w:numPr>
                <w:ilvl w:val="0"/>
                <w:numId w:val="29"/>
              </w:numPr>
              <w:spacing w:line="276" w:lineRule="auto"/>
              <w:jc w:val="both"/>
              <w:rPr>
                <w:rFonts w:ascii="Calibri" w:hAnsi="Calibri" w:cs="Calibri"/>
              </w:rPr>
            </w:pPr>
            <w:r>
              <w:rPr>
                <w:rFonts w:ascii="Calibri" w:hAnsi="Calibri" w:cs="Calibri"/>
              </w:rPr>
              <w:t>Construcción de variantes Rutas Enroladas E-377 y E-315.</w:t>
            </w:r>
          </w:p>
          <w:p w14:paraId="2A403147" w14:textId="77777777" w:rsidR="005402EA" w:rsidRDefault="005402EA" w:rsidP="005402EA">
            <w:pPr>
              <w:numPr>
                <w:ilvl w:val="0"/>
                <w:numId w:val="29"/>
              </w:numPr>
              <w:spacing w:line="276" w:lineRule="auto"/>
              <w:jc w:val="both"/>
              <w:rPr>
                <w:rFonts w:ascii="Calibri" w:hAnsi="Calibri" w:cs="Calibri"/>
              </w:rPr>
            </w:pPr>
            <w:r>
              <w:rPr>
                <w:rFonts w:ascii="Calibri" w:hAnsi="Calibri" w:cs="Calibri"/>
              </w:rPr>
              <w:t xml:space="preserve">Construcción de Estaciones </w:t>
            </w:r>
            <w:proofErr w:type="spellStart"/>
            <w:r>
              <w:rPr>
                <w:rFonts w:ascii="Calibri" w:hAnsi="Calibri" w:cs="Calibri"/>
              </w:rPr>
              <w:t>Fluviometricas</w:t>
            </w:r>
            <w:proofErr w:type="spellEnd"/>
            <w:r>
              <w:rPr>
                <w:rFonts w:ascii="Calibri" w:hAnsi="Calibri" w:cs="Calibri"/>
              </w:rPr>
              <w:t xml:space="preserve"> Las </w:t>
            </w:r>
            <w:proofErr w:type="spellStart"/>
            <w:r>
              <w:rPr>
                <w:rFonts w:ascii="Calibri" w:hAnsi="Calibri" w:cs="Calibri"/>
              </w:rPr>
              <w:t>Carditas</w:t>
            </w:r>
            <w:proofErr w:type="spellEnd"/>
            <w:r>
              <w:rPr>
                <w:rFonts w:ascii="Calibri" w:hAnsi="Calibri" w:cs="Calibri"/>
              </w:rPr>
              <w:t xml:space="preserve"> y Frutillar.</w:t>
            </w:r>
          </w:p>
          <w:p w14:paraId="7BAF3D24" w14:textId="77777777" w:rsidR="005402EA" w:rsidRDefault="005402EA">
            <w:pPr>
              <w:spacing w:before="120" w:after="120" w:line="240" w:lineRule="exact"/>
              <w:jc w:val="both"/>
              <w:rPr>
                <w:rFonts w:ascii="Calibri" w:hAnsi="Calibri" w:cs="Calibri"/>
                <w:lang w:val="es-CL" w:eastAsia="es-CL"/>
              </w:rPr>
            </w:pPr>
            <w:r>
              <w:rPr>
                <w:rFonts w:ascii="Calibri" w:hAnsi="Calibri" w:cs="Calibri"/>
              </w:rPr>
              <w:lastRenderedPageBreak/>
              <w:t>Referente a Plan de Reasentamiento de las familias que residían en la zona de inundación del embalse, se está a la espera de la gestión de la presentación y posterior aprobación, por parte del SAG, del plano de subdivisión que entregará Lotes a cada reasentado.</w:t>
            </w:r>
          </w:p>
        </w:tc>
      </w:tr>
    </w:tbl>
    <w:p w14:paraId="2BEB4BE7" w14:textId="77777777" w:rsidR="005402EA" w:rsidRDefault="005402EA" w:rsidP="005402EA">
      <w:pPr>
        <w:jc w:val="center"/>
        <w:rPr>
          <w:rFonts w:asciiTheme="minorHAnsi" w:eastAsiaTheme="minorHAnsi" w:hAnsiTheme="minorHAnsi" w:cstheme="minorBidi"/>
          <w:b/>
          <w:sz w:val="24"/>
          <w:szCs w:val="24"/>
          <w:lang w:val="es-ES" w:eastAsia="en-US"/>
        </w:rPr>
      </w:pPr>
    </w:p>
    <w:p w14:paraId="7CCB9C01" w14:textId="77777777" w:rsidR="005402EA" w:rsidRDefault="005402EA" w:rsidP="005402EA">
      <w:pPr>
        <w:jc w:val="center"/>
        <w:rPr>
          <w:b/>
          <w:sz w:val="24"/>
          <w:szCs w:val="24"/>
        </w:rPr>
      </w:pPr>
    </w:p>
    <w:p w14:paraId="2A2CD052" w14:textId="77777777" w:rsidR="005402EA" w:rsidRDefault="005402EA" w:rsidP="005402EA">
      <w:pPr>
        <w:jc w:val="center"/>
        <w:rPr>
          <w:b/>
          <w:u w:val="single"/>
        </w:rPr>
      </w:pPr>
    </w:p>
    <w:p w14:paraId="14409A4E" w14:textId="77777777" w:rsidR="005402EA" w:rsidRDefault="005402EA" w:rsidP="005402EA">
      <w:pPr>
        <w:spacing w:line="360" w:lineRule="auto"/>
        <w:rPr>
          <w:rFonts w:ascii="Verdana" w:hAnsi="Verdana" w:cs="Arial"/>
          <w:b/>
        </w:rPr>
      </w:pPr>
    </w:p>
    <w:p w14:paraId="0D6C64E0" w14:textId="77777777" w:rsidR="005402EA" w:rsidRDefault="005402EA" w:rsidP="005402EA">
      <w:pPr>
        <w:ind w:firstLine="567"/>
        <w:jc w:val="both"/>
        <w:rPr>
          <w:rFonts w:ascii="Verdana" w:hAnsi="Verdana" w:cs="Arial"/>
          <w:b/>
        </w:rPr>
      </w:pPr>
    </w:p>
    <w:p w14:paraId="655ADE8E" w14:textId="77777777" w:rsidR="005402EA" w:rsidRPr="00F760FB" w:rsidRDefault="005402EA" w:rsidP="003434F4">
      <w:pPr>
        <w:tabs>
          <w:tab w:val="left" w:pos="6384"/>
        </w:tabs>
        <w:spacing w:line="276" w:lineRule="auto"/>
        <w:jc w:val="both"/>
        <w:rPr>
          <w:rFonts w:ascii="Verdana" w:hAnsi="Verdana" w:cs="Arial"/>
        </w:rPr>
      </w:pPr>
    </w:p>
    <w:sectPr w:rsidR="005402EA" w:rsidRPr="00F760FB" w:rsidSect="00F23FEA">
      <w:headerReference w:type="default" r:id="rId8"/>
      <w:pgSz w:w="12242" w:h="18722" w:code="14"/>
      <w:pgMar w:top="1418" w:right="1418"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0C23" w14:textId="77777777" w:rsidR="00E26BB7" w:rsidRDefault="00E26BB7" w:rsidP="001D0012">
      <w:r>
        <w:separator/>
      </w:r>
    </w:p>
  </w:endnote>
  <w:endnote w:type="continuationSeparator" w:id="0">
    <w:p w14:paraId="0D8E0D9D" w14:textId="77777777" w:rsidR="00E26BB7" w:rsidRDefault="00E26BB7"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8D14" w14:textId="77777777" w:rsidR="00E26BB7" w:rsidRDefault="00E26BB7" w:rsidP="001D0012">
      <w:r>
        <w:separator/>
      </w:r>
    </w:p>
  </w:footnote>
  <w:footnote w:type="continuationSeparator" w:id="0">
    <w:p w14:paraId="7A617D34" w14:textId="77777777" w:rsidR="00E26BB7" w:rsidRDefault="00E26BB7" w:rsidP="001D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85"/>
    </w:tblGrid>
    <w:tr w:rsidR="006A724A" w:rsidRPr="001D0012" w14:paraId="362497DA" w14:textId="77777777" w:rsidTr="00B77FC6">
      <w:trPr>
        <w:trHeight w:val="359"/>
      </w:trPr>
      <w:tc>
        <w:tcPr>
          <w:tcW w:w="9615" w:type="dxa"/>
        </w:tcPr>
        <w:p w14:paraId="486644A9" w14:textId="0A1D6A29" w:rsidR="006A724A" w:rsidRDefault="006A724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LEY DE PRESUPUESTO AÑO 202</w:t>
          </w:r>
          <w:r w:rsidR="00D545A2">
            <w:rPr>
              <w:rFonts w:ascii="Arial" w:hAnsi="Arial" w:cs="Arial"/>
            </w:rPr>
            <w:t>1</w:t>
          </w:r>
          <w:r>
            <w:rPr>
              <w:rFonts w:ascii="Arial" w:hAnsi="Arial" w:cs="Arial"/>
            </w:rPr>
            <w:t>.</w:t>
          </w:r>
          <w:r w:rsidRPr="001D0012">
            <w:rPr>
              <w:rFonts w:ascii="Arial" w:hAnsi="Arial" w:cs="Arial"/>
            </w:rPr>
            <w:t xml:space="preserve">          </w:t>
          </w:r>
        </w:p>
        <w:p w14:paraId="1664DAA5" w14:textId="22815011" w:rsidR="006A724A" w:rsidRPr="00B1587B" w:rsidRDefault="006A724A" w:rsidP="0030767B">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 </w:t>
          </w:r>
          <w:r w:rsidR="0030767B">
            <w:rPr>
              <w:rFonts w:ascii="Arial" w:hAnsi="Arial" w:cs="Arial"/>
            </w:rPr>
            <w:t xml:space="preserve">Segundo </w:t>
          </w:r>
          <w:r w:rsidRPr="001D0012">
            <w:rPr>
              <w:rFonts w:ascii="Arial" w:hAnsi="Arial" w:cs="Arial"/>
            </w:rPr>
            <w:t xml:space="preserve">Trimestre </w:t>
          </w:r>
        </w:p>
      </w:tc>
    </w:tr>
    <w:tr w:rsidR="006A724A" w:rsidRPr="001D0012" w14:paraId="6854EFED" w14:textId="77777777" w:rsidTr="00B77FC6">
      <w:trPr>
        <w:trHeight w:val="359"/>
      </w:trPr>
      <w:tc>
        <w:tcPr>
          <w:tcW w:w="9615" w:type="dxa"/>
        </w:tcPr>
        <w:p w14:paraId="34E24A9B" w14:textId="77777777" w:rsidR="006A724A" w:rsidRPr="002D5CB5" w:rsidRDefault="006A724A" w:rsidP="002D5CB5">
          <w:pPr>
            <w:tabs>
              <w:tab w:val="left" w:pos="7080"/>
            </w:tabs>
          </w:pPr>
        </w:p>
      </w:tc>
    </w:tr>
  </w:tbl>
  <w:p w14:paraId="1D854C37" w14:textId="77777777" w:rsidR="006A724A" w:rsidRPr="001D0012" w:rsidRDefault="006A72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F27A3E"/>
    <w:multiLevelType w:val="singleLevel"/>
    <w:tmpl w:val="C414C942"/>
    <w:lvl w:ilvl="0">
      <w:numFmt w:val="bullet"/>
      <w:lvlText w:val="-"/>
      <w:lvlJc w:val="left"/>
      <w:pPr>
        <w:tabs>
          <w:tab w:val="num" w:pos="360"/>
        </w:tabs>
        <w:ind w:left="360" w:hanging="360"/>
      </w:pPr>
      <w:rPr>
        <w:rFonts w:hint="default"/>
      </w:rPr>
    </w:lvl>
  </w:abstractNum>
  <w:abstractNum w:abstractNumId="5" w15:restartNumberingAfterBreak="0">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7A26813"/>
    <w:multiLevelType w:val="hybridMultilevel"/>
    <w:tmpl w:val="E85A60E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15:restartNumberingAfterBreak="0">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5F25BB"/>
    <w:multiLevelType w:val="singleLevel"/>
    <w:tmpl w:val="852A3DB2"/>
    <w:lvl w:ilvl="0">
      <w:numFmt w:val="bullet"/>
      <w:lvlText w:val="-"/>
      <w:lvlJc w:val="left"/>
      <w:pPr>
        <w:tabs>
          <w:tab w:val="num" w:pos="360"/>
        </w:tabs>
        <w:ind w:left="360" w:hanging="360"/>
      </w:pPr>
      <w:rPr>
        <w:rFonts w:hint="default"/>
      </w:rPr>
    </w:lvl>
  </w:abstractNum>
  <w:abstractNum w:abstractNumId="21" w15:restartNumberingAfterBreak="0">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7BB47B75"/>
    <w:multiLevelType w:val="hybridMultilevel"/>
    <w:tmpl w:val="CA78DC6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20"/>
  </w:num>
  <w:num w:numId="2">
    <w:abstractNumId w:val="4"/>
  </w:num>
  <w:num w:numId="3">
    <w:abstractNumId w:val="26"/>
  </w:num>
  <w:num w:numId="4">
    <w:abstractNumId w:val="15"/>
  </w:num>
  <w:num w:numId="5">
    <w:abstractNumId w:val="17"/>
  </w:num>
  <w:num w:numId="6">
    <w:abstractNumId w:val="12"/>
  </w:num>
  <w:num w:numId="7">
    <w:abstractNumId w:val="9"/>
  </w:num>
  <w:num w:numId="8">
    <w:abstractNumId w:val="7"/>
  </w:num>
  <w:num w:numId="9">
    <w:abstractNumId w:val="22"/>
  </w:num>
  <w:num w:numId="10">
    <w:abstractNumId w:val="27"/>
  </w:num>
  <w:num w:numId="11">
    <w:abstractNumId w:val="6"/>
  </w:num>
  <w:num w:numId="12">
    <w:abstractNumId w:val="21"/>
  </w:num>
  <w:num w:numId="13">
    <w:abstractNumId w:val="23"/>
  </w:num>
  <w:num w:numId="14">
    <w:abstractNumId w:val="5"/>
  </w:num>
  <w:num w:numId="15">
    <w:abstractNumId w:val="24"/>
  </w:num>
  <w:num w:numId="16">
    <w:abstractNumId w:val="10"/>
  </w:num>
  <w:num w:numId="17">
    <w:abstractNumId w:val="19"/>
  </w:num>
  <w:num w:numId="18">
    <w:abstractNumId w:val="8"/>
  </w:num>
  <w:num w:numId="19">
    <w:abstractNumId w:val="1"/>
  </w:num>
  <w:num w:numId="20">
    <w:abstractNumId w:val="13"/>
  </w:num>
  <w:num w:numId="21">
    <w:abstractNumId w:val="0"/>
  </w:num>
  <w:num w:numId="22">
    <w:abstractNumId w:val="11"/>
  </w:num>
  <w:num w:numId="23">
    <w:abstractNumId w:val="14"/>
  </w:num>
  <w:num w:numId="24">
    <w:abstractNumId w:val="2"/>
  </w:num>
  <w:num w:numId="25">
    <w:abstractNumId w:val="18"/>
  </w:num>
  <w:num w:numId="26">
    <w:abstractNumId w:val="3"/>
  </w:num>
  <w:num w:numId="27">
    <w:abstractNumId w:val="25"/>
  </w:num>
  <w:num w:numId="28">
    <w:abstractNumId w:val="1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53"/>
    <w:rsid w:val="0000076F"/>
    <w:rsid w:val="0000106C"/>
    <w:rsid w:val="00001F99"/>
    <w:rsid w:val="00003E5D"/>
    <w:rsid w:val="000043A1"/>
    <w:rsid w:val="00011792"/>
    <w:rsid w:val="000118F8"/>
    <w:rsid w:val="00012159"/>
    <w:rsid w:val="0001305A"/>
    <w:rsid w:val="00013AF5"/>
    <w:rsid w:val="00015034"/>
    <w:rsid w:val="000171A2"/>
    <w:rsid w:val="00021240"/>
    <w:rsid w:val="00024801"/>
    <w:rsid w:val="000253FD"/>
    <w:rsid w:val="000315CE"/>
    <w:rsid w:val="00033A89"/>
    <w:rsid w:val="00033FB0"/>
    <w:rsid w:val="000415A6"/>
    <w:rsid w:val="0005110A"/>
    <w:rsid w:val="000533A7"/>
    <w:rsid w:val="00053D0A"/>
    <w:rsid w:val="000542DA"/>
    <w:rsid w:val="00054749"/>
    <w:rsid w:val="00054D77"/>
    <w:rsid w:val="0005776D"/>
    <w:rsid w:val="00057915"/>
    <w:rsid w:val="00063BB5"/>
    <w:rsid w:val="0006669A"/>
    <w:rsid w:val="00070720"/>
    <w:rsid w:val="00072804"/>
    <w:rsid w:val="00073E0F"/>
    <w:rsid w:val="00077648"/>
    <w:rsid w:val="00080F3D"/>
    <w:rsid w:val="0008111B"/>
    <w:rsid w:val="00081527"/>
    <w:rsid w:val="000819CC"/>
    <w:rsid w:val="00082A4C"/>
    <w:rsid w:val="00084520"/>
    <w:rsid w:val="000870A7"/>
    <w:rsid w:val="0008734D"/>
    <w:rsid w:val="0009180C"/>
    <w:rsid w:val="000955AC"/>
    <w:rsid w:val="00095D6C"/>
    <w:rsid w:val="000A015C"/>
    <w:rsid w:val="000A24FD"/>
    <w:rsid w:val="000A27C9"/>
    <w:rsid w:val="000A7003"/>
    <w:rsid w:val="000B3AC3"/>
    <w:rsid w:val="000B41BD"/>
    <w:rsid w:val="000B5A56"/>
    <w:rsid w:val="000B5AC6"/>
    <w:rsid w:val="000C3225"/>
    <w:rsid w:val="000C353E"/>
    <w:rsid w:val="000C3A23"/>
    <w:rsid w:val="000C6338"/>
    <w:rsid w:val="000D3DA5"/>
    <w:rsid w:val="000D69E5"/>
    <w:rsid w:val="000E015F"/>
    <w:rsid w:val="000E2486"/>
    <w:rsid w:val="000E259A"/>
    <w:rsid w:val="000E3D01"/>
    <w:rsid w:val="000E507B"/>
    <w:rsid w:val="000E790B"/>
    <w:rsid w:val="000F0AA6"/>
    <w:rsid w:val="000F3381"/>
    <w:rsid w:val="000F448E"/>
    <w:rsid w:val="000F736C"/>
    <w:rsid w:val="000F73D5"/>
    <w:rsid w:val="00100C66"/>
    <w:rsid w:val="00100EE3"/>
    <w:rsid w:val="00105E74"/>
    <w:rsid w:val="0011018C"/>
    <w:rsid w:val="001108B3"/>
    <w:rsid w:val="00110F90"/>
    <w:rsid w:val="00113F41"/>
    <w:rsid w:val="00122709"/>
    <w:rsid w:val="00127D51"/>
    <w:rsid w:val="00131D57"/>
    <w:rsid w:val="00133E18"/>
    <w:rsid w:val="00141B92"/>
    <w:rsid w:val="00145038"/>
    <w:rsid w:val="00147B92"/>
    <w:rsid w:val="0015014D"/>
    <w:rsid w:val="00153BA4"/>
    <w:rsid w:val="00156090"/>
    <w:rsid w:val="00156EA1"/>
    <w:rsid w:val="0016082D"/>
    <w:rsid w:val="001613A1"/>
    <w:rsid w:val="00161A57"/>
    <w:rsid w:val="00165E3F"/>
    <w:rsid w:val="00166655"/>
    <w:rsid w:val="001700FD"/>
    <w:rsid w:val="0017135F"/>
    <w:rsid w:val="001713CE"/>
    <w:rsid w:val="001740A8"/>
    <w:rsid w:val="0017532E"/>
    <w:rsid w:val="0018003B"/>
    <w:rsid w:val="00181D57"/>
    <w:rsid w:val="001824B5"/>
    <w:rsid w:val="00184E7D"/>
    <w:rsid w:val="001915BA"/>
    <w:rsid w:val="001A0140"/>
    <w:rsid w:val="001A7DE2"/>
    <w:rsid w:val="001B10AB"/>
    <w:rsid w:val="001B1272"/>
    <w:rsid w:val="001B287F"/>
    <w:rsid w:val="001B2B7D"/>
    <w:rsid w:val="001B7AEC"/>
    <w:rsid w:val="001C489F"/>
    <w:rsid w:val="001C5EC9"/>
    <w:rsid w:val="001C77C6"/>
    <w:rsid w:val="001D0012"/>
    <w:rsid w:val="001D19C7"/>
    <w:rsid w:val="001D32EE"/>
    <w:rsid w:val="001D66A4"/>
    <w:rsid w:val="001D7270"/>
    <w:rsid w:val="001D75B0"/>
    <w:rsid w:val="001E44E2"/>
    <w:rsid w:val="001E503D"/>
    <w:rsid w:val="001E55FE"/>
    <w:rsid w:val="001E7AA6"/>
    <w:rsid w:val="001E7D70"/>
    <w:rsid w:val="001F2F74"/>
    <w:rsid w:val="002014DD"/>
    <w:rsid w:val="00206F0D"/>
    <w:rsid w:val="00207512"/>
    <w:rsid w:val="00212C85"/>
    <w:rsid w:val="0022007D"/>
    <w:rsid w:val="0022116B"/>
    <w:rsid w:val="00222B0B"/>
    <w:rsid w:val="00222B4B"/>
    <w:rsid w:val="00225A1A"/>
    <w:rsid w:val="00226266"/>
    <w:rsid w:val="002313E1"/>
    <w:rsid w:val="002323BD"/>
    <w:rsid w:val="00234190"/>
    <w:rsid w:val="00235661"/>
    <w:rsid w:val="00235ED3"/>
    <w:rsid w:val="0023625B"/>
    <w:rsid w:val="00236395"/>
    <w:rsid w:val="00237075"/>
    <w:rsid w:val="002401C6"/>
    <w:rsid w:val="002433A9"/>
    <w:rsid w:val="00245B6D"/>
    <w:rsid w:val="00245EA7"/>
    <w:rsid w:val="00246790"/>
    <w:rsid w:val="00247ACD"/>
    <w:rsid w:val="00250B27"/>
    <w:rsid w:val="00251398"/>
    <w:rsid w:val="00252712"/>
    <w:rsid w:val="00252E2A"/>
    <w:rsid w:val="00254DCA"/>
    <w:rsid w:val="00256E18"/>
    <w:rsid w:val="00260B3C"/>
    <w:rsid w:val="00260FC0"/>
    <w:rsid w:val="00262F1E"/>
    <w:rsid w:val="00267198"/>
    <w:rsid w:val="002676E5"/>
    <w:rsid w:val="00270AA5"/>
    <w:rsid w:val="00274159"/>
    <w:rsid w:val="0027569B"/>
    <w:rsid w:val="00280ADC"/>
    <w:rsid w:val="0029369B"/>
    <w:rsid w:val="00293E8A"/>
    <w:rsid w:val="002944F5"/>
    <w:rsid w:val="0029581D"/>
    <w:rsid w:val="0029585F"/>
    <w:rsid w:val="002A0771"/>
    <w:rsid w:val="002A1531"/>
    <w:rsid w:val="002A2FCD"/>
    <w:rsid w:val="002A3400"/>
    <w:rsid w:val="002A3FD7"/>
    <w:rsid w:val="002A735C"/>
    <w:rsid w:val="002B0F29"/>
    <w:rsid w:val="002B26D6"/>
    <w:rsid w:val="002B434F"/>
    <w:rsid w:val="002C2B92"/>
    <w:rsid w:val="002C3BB6"/>
    <w:rsid w:val="002C4F94"/>
    <w:rsid w:val="002C53F4"/>
    <w:rsid w:val="002C5777"/>
    <w:rsid w:val="002C6E24"/>
    <w:rsid w:val="002C7A2A"/>
    <w:rsid w:val="002D13EF"/>
    <w:rsid w:val="002D1810"/>
    <w:rsid w:val="002D25F9"/>
    <w:rsid w:val="002D327B"/>
    <w:rsid w:val="002D5CB5"/>
    <w:rsid w:val="002D5F08"/>
    <w:rsid w:val="002D7540"/>
    <w:rsid w:val="002D7598"/>
    <w:rsid w:val="002E09E7"/>
    <w:rsid w:val="002E2C6B"/>
    <w:rsid w:val="002E423A"/>
    <w:rsid w:val="002E768A"/>
    <w:rsid w:val="002E7789"/>
    <w:rsid w:val="002F2C7F"/>
    <w:rsid w:val="002F31D1"/>
    <w:rsid w:val="002F361C"/>
    <w:rsid w:val="00300EEF"/>
    <w:rsid w:val="003025D7"/>
    <w:rsid w:val="0030264F"/>
    <w:rsid w:val="00305430"/>
    <w:rsid w:val="00305A56"/>
    <w:rsid w:val="0030767B"/>
    <w:rsid w:val="00311701"/>
    <w:rsid w:val="00315E6D"/>
    <w:rsid w:val="00317551"/>
    <w:rsid w:val="0032417A"/>
    <w:rsid w:val="00327865"/>
    <w:rsid w:val="00330E2B"/>
    <w:rsid w:val="00331CF9"/>
    <w:rsid w:val="00335B8B"/>
    <w:rsid w:val="0034110B"/>
    <w:rsid w:val="00341A60"/>
    <w:rsid w:val="003434F4"/>
    <w:rsid w:val="00350464"/>
    <w:rsid w:val="0035130A"/>
    <w:rsid w:val="003527F4"/>
    <w:rsid w:val="003534CA"/>
    <w:rsid w:val="00353937"/>
    <w:rsid w:val="00357E74"/>
    <w:rsid w:val="00357FD6"/>
    <w:rsid w:val="00363154"/>
    <w:rsid w:val="00363AC7"/>
    <w:rsid w:val="0036559C"/>
    <w:rsid w:val="00366046"/>
    <w:rsid w:val="00370180"/>
    <w:rsid w:val="003731D7"/>
    <w:rsid w:val="00373BD5"/>
    <w:rsid w:val="00374594"/>
    <w:rsid w:val="00376105"/>
    <w:rsid w:val="00376C6B"/>
    <w:rsid w:val="00376F87"/>
    <w:rsid w:val="00381EF5"/>
    <w:rsid w:val="00387743"/>
    <w:rsid w:val="0039219C"/>
    <w:rsid w:val="00392303"/>
    <w:rsid w:val="0039239B"/>
    <w:rsid w:val="003943B2"/>
    <w:rsid w:val="003964FE"/>
    <w:rsid w:val="003A4CF2"/>
    <w:rsid w:val="003A7D50"/>
    <w:rsid w:val="003B1128"/>
    <w:rsid w:val="003B122E"/>
    <w:rsid w:val="003B56B9"/>
    <w:rsid w:val="003B7184"/>
    <w:rsid w:val="003B71B1"/>
    <w:rsid w:val="003B7B51"/>
    <w:rsid w:val="003C0D35"/>
    <w:rsid w:val="003C58F9"/>
    <w:rsid w:val="003D0F0B"/>
    <w:rsid w:val="003D3B58"/>
    <w:rsid w:val="003D474F"/>
    <w:rsid w:val="003D56DE"/>
    <w:rsid w:val="003D6515"/>
    <w:rsid w:val="003E1F3C"/>
    <w:rsid w:val="003E2115"/>
    <w:rsid w:val="003E31C7"/>
    <w:rsid w:val="003E3D18"/>
    <w:rsid w:val="003F6535"/>
    <w:rsid w:val="00400020"/>
    <w:rsid w:val="0040031A"/>
    <w:rsid w:val="004028EF"/>
    <w:rsid w:val="00406D7E"/>
    <w:rsid w:val="00414A71"/>
    <w:rsid w:val="00414DD2"/>
    <w:rsid w:val="00420846"/>
    <w:rsid w:val="00420CBA"/>
    <w:rsid w:val="00420F3D"/>
    <w:rsid w:val="00421E23"/>
    <w:rsid w:val="00423AA1"/>
    <w:rsid w:val="00425276"/>
    <w:rsid w:val="004315E7"/>
    <w:rsid w:val="004355F1"/>
    <w:rsid w:val="004371D0"/>
    <w:rsid w:val="004379E4"/>
    <w:rsid w:val="00440AFE"/>
    <w:rsid w:val="004419AC"/>
    <w:rsid w:val="00441AEE"/>
    <w:rsid w:val="00442678"/>
    <w:rsid w:val="0044443F"/>
    <w:rsid w:val="004466EE"/>
    <w:rsid w:val="00450C04"/>
    <w:rsid w:val="00454F42"/>
    <w:rsid w:val="00455FE1"/>
    <w:rsid w:val="00457155"/>
    <w:rsid w:val="004632EF"/>
    <w:rsid w:val="0047010E"/>
    <w:rsid w:val="00480A4B"/>
    <w:rsid w:val="00483EDC"/>
    <w:rsid w:val="00491C08"/>
    <w:rsid w:val="00492628"/>
    <w:rsid w:val="0049275D"/>
    <w:rsid w:val="00492B49"/>
    <w:rsid w:val="0049787E"/>
    <w:rsid w:val="004A0679"/>
    <w:rsid w:val="004A2076"/>
    <w:rsid w:val="004A243D"/>
    <w:rsid w:val="004A3F2E"/>
    <w:rsid w:val="004A5AB8"/>
    <w:rsid w:val="004A60CB"/>
    <w:rsid w:val="004A67FC"/>
    <w:rsid w:val="004A6841"/>
    <w:rsid w:val="004B0BCC"/>
    <w:rsid w:val="004B58A7"/>
    <w:rsid w:val="004B7929"/>
    <w:rsid w:val="004C0950"/>
    <w:rsid w:val="004C17F0"/>
    <w:rsid w:val="004D0D83"/>
    <w:rsid w:val="004D54FD"/>
    <w:rsid w:val="004D5CD3"/>
    <w:rsid w:val="004E017D"/>
    <w:rsid w:val="004E3886"/>
    <w:rsid w:val="004E3B2B"/>
    <w:rsid w:val="004E3E21"/>
    <w:rsid w:val="004E41DF"/>
    <w:rsid w:val="004E45E1"/>
    <w:rsid w:val="004E64A3"/>
    <w:rsid w:val="004F132C"/>
    <w:rsid w:val="004F2EEC"/>
    <w:rsid w:val="004F2F96"/>
    <w:rsid w:val="004F3C4B"/>
    <w:rsid w:val="004F5A0F"/>
    <w:rsid w:val="004F5EF7"/>
    <w:rsid w:val="004F6B09"/>
    <w:rsid w:val="0050420A"/>
    <w:rsid w:val="00511A9F"/>
    <w:rsid w:val="005132C4"/>
    <w:rsid w:val="00514CEF"/>
    <w:rsid w:val="005154D8"/>
    <w:rsid w:val="00515CA9"/>
    <w:rsid w:val="00521586"/>
    <w:rsid w:val="00523314"/>
    <w:rsid w:val="00534288"/>
    <w:rsid w:val="005402EA"/>
    <w:rsid w:val="0054257E"/>
    <w:rsid w:val="0054782A"/>
    <w:rsid w:val="005544A5"/>
    <w:rsid w:val="00557C82"/>
    <w:rsid w:val="00560106"/>
    <w:rsid w:val="00562624"/>
    <w:rsid w:val="00567EEE"/>
    <w:rsid w:val="00570F93"/>
    <w:rsid w:val="00573152"/>
    <w:rsid w:val="00576051"/>
    <w:rsid w:val="00586839"/>
    <w:rsid w:val="00587A1C"/>
    <w:rsid w:val="00593C4E"/>
    <w:rsid w:val="0059593B"/>
    <w:rsid w:val="00595D2A"/>
    <w:rsid w:val="00596664"/>
    <w:rsid w:val="00596711"/>
    <w:rsid w:val="005A12BC"/>
    <w:rsid w:val="005A1FDD"/>
    <w:rsid w:val="005A4425"/>
    <w:rsid w:val="005A47DC"/>
    <w:rsid w:val="005A4983"/>
    <w:rsid w:val="005B4C36"/>
    <w:rsid w:val="005B7ED4"/>
    <w:rsid w:val="005C03A9"/>
    <w:rsid w:val="005C1F0E"/>
    <w:rsid w:val="005C42F5"/>
    <w:rsid w:val="005C5293"/>
    <w:rsid w:val="005C58C9"/>
    <w:rsid w:val="005C789F"/>
    <w:rsid w:val="005D2D55"/>
    <w:rsid w:val="005D74EB"/>
    <w:rsid w:val="005E1E13"/>
    <w:rsid w:val="005F1A1B"/>
    <w:rsid w:val="005F56E3"/>
    <w:rsid w:val="005F6A7B"/>
    <w:rsid w:val="00600015"/>
    <w:rsid w:val="00602537"/>
    <w:rsid w:val="00604690"/>
    <w:rsid w:val="00605E9B"/>
    <w:rsid w:val="00616880"/>
    <w:rsid w:val="00620383"/>
    <w:rsid w:val="00620ABF"/>
    <w:rsid w:val="00623BEA"/>
    <w:rsid w:val="00625074"/>
    <w:rsid w:val="00630390"/>
    <w:rsid w:val="0063246B"/>
    <w:rsid w:val="00632A08"/>
    <w:rsid w:val="00633685"/>
    <w:rsid w:val="006374E6"/>
    <w:rsid w:val="00642979"/>
    <w:rsid w:val="006461BA"/>
    <w:rsid w:val="006513F9"/>
    <w:rsid w:val="006570BD"/>
    <w:rsid w:val="00676F25"/>
    <w:rsid w:val="006776A9"/>
    <w:rsid w:val="0068135D"/>
    <w:rsid w:val="00681868"/>
    <w:rsid w:val="006834D3"/>
    <w:rsid w:val="00683899"/>
    <w:rsid w:val="00683A36"/>
    <w:rsid w:val="00690024"/>
    <w:rsid w:val="00691D4D"/>
    <w:rsid w:val="006946F6"/>
    <w:rsid w:val="00694F6C"/>
    <w:rsid w:val="006A3DDD"/>
    <w:rsid w:val="006A724A"/>
    <w:rsid w:val="006A75B6"/>
    <w:rsid w:val="006B063A"/>
    <w:rsid w:val="006B210E"/>
    <w:rsid w:val="006C0779"/>
    <w:rsid w:val="006C078D"/>
    <w:rsid w:val="006C08BF"/>
    <w:rsid w:val="006C1941"/>
    <w:rsid w:val="006C2EF6"/>
    <w:rsid w:val="006C3C41"/>
    <w:rsid w:val="006C5648"/>
    <w:rsid w:val="006C6935"/>
    <w:rsid w:val="006D0086"/>
    <w:rsid w:val="006D2404"/>
    <w:rsid w:val="006D3E84"/>
    <w:rsid w:val="006D629B"/>
    <w:rsid w:val="006E1CE9"/>
    <w:rsid w:val="006E6365"/>
    <w:rsid w:val="006E6EE4"/>
    <w:rsid w:val="006F0407"/>
    <w:rsid w:val="006F12FB"/>
    <w:rsid w:val="006F21C0"/>
    <w:rsid w:val="006F310A"/>
    <w:rsid w:val="006F4E9E"/>
    <w:rsid w:val="00701FAA"/>
    <w:rsid w:val="0070284A"/>
    <w:rsid w:val="00702C4A"/>
    <w:rsid w:val="007034E7"/>
    <w:rsid w:val="00703CE2"/>
    <w:rsid w:val="007055BC"/>
    <w:rsid w:val="007076BB"/>
    <w:rsid w:val="007109A5"/>
    <w:rsid w:val="007148E1"/>
    <w:rsid w:val="00715BFD"/>
    <w:rsid w:val="007218F7"/>
    <w:rsid w:val="007240A8"/>
    <w:rsid w:val="00733489"/>
    <w:rsid w:val="0073445F"/>
    <w:rsid w:val="007347DF"/>
    <w:rsid w:val="007355F4"/>
    <w:rsid w:val="00736DCE"/>
    <w:rsid w:val="0074055F"/>
    <w:rsid w:val="00742C26"/>
    <w:rsid w:val="0074432D"/>
    <w:rsid w:val="00745148"/>
    <w:rsid w:val="0075296B"/>
    <w:rsid w:val="00761CF7"/>
    <w:rsid w:val="00765BD9"/>
    <w:rsid w:val="00775737"/>
    <w:rsid w:val="007773AA"/>
    <w:rsid w:val="00780DAE"/>
    <w:rsid w:val="0078130A"/>
    <w:rsid w:val="0078333A"/>
    <w:rsid w:val="00784650"/>
    <w:rsid w:val="00784FA9"/>
    <w:rsid w:val="00785615"/>
    <w:rsid w:val="007861F7"/>
    <w:rsid w:val="00790501"/>
    <w:rsid w:val="00792A5D"/>
    <w:rsid w:val="0079487F"/>
    <w:rsid w:val="00794C9A"/>
    <w:rsid w:val="00795A3B"/>
    <w:rsid w:val="00795B38"/>
    <w:rsid w:val="00795C5E"/>
    <w:rsid w:val="00797F91"/>
    <w:rsid w:val="00797FBE"/>
    <w:rsid w:val="007B381D"/>
    <w:rsid w:val="007B3DDE"/>
    <w:rsid w:val="007B5B40"/>
    <w:rsid w:val="007C3E92"/>
    <w:rsid w:val="007C41E1"/>
    <w:rsid w:val="007C5143"/>
    <w:rsid w:val="007D045A"/>
    <w:rsid w:val="007D0BA2"/>
    <w:rsid w:val="007D33AD"/>
    <w:rsid w:val="007D755E"/>
    <w:rsid w:val="007E0481"/>
    <w:rsid w:val="007E2C5F"/>
    <w:rsid w:val="007E58BF"/>
    <w:rsid w:val="007E7B68"/>
    <w:rsid w:val="007F2208"/>
    <w:rsid w:val="007F2588"/>
    <w:rsid w:val="007F4896"/>
    <w:rsid w:val="007F525D"/>
    <w:rsid w:val="007F6D3F"/>
    <w:rsid w:val="007F752D"/>
    <w:rsid w:val="0080076D"/>
    <w:rsid w:val="0080367F"/>
    <w:rsid w:val="00805B02"/>
    <w:rsid w:val="008063D8"/>
    <w:rsid w:val="00806492"/>
    <w:rsid w:val="00806636"/>
    <w:rsid w:val="00807EF3"/>
    <w:rsid w:val="00811A00"/>
    <w:rsid w:val="00811E43"/>
    <w:rsid w:val="00813241"/>
    <w:rsid w:val="00813B33"/>
    <w:rsid w:val="008165CD"/>
    <w:rsid w:val="008203A1"/>
    <w:rsid w:val="00823900"/>
    <w:rsid w:val="0082477A"/>
    <w:rsid w:val="008268BB"/>
    <w:rsid w:val="00832D0F"/>
    <w:rsid w:val="0083411E"/>
    <w:rsid w:val="008342E2"/>
    <w:rsid w:val="00836A59"/>
    <w:rsid w:val="00837FAB"/>
    <w:rsid w:val="00842CB7"/>
    <w:rsid w:val="00843DCB"/>
    <w:rsid w:val="00843FCD"/>
    <w:rsid w:val="008446F6"/>
    <w:rsid w:val="00844FE1"/>
    <w:rsid w:val="00856E8F"/>
    <w:rsid w:val="00861A67"/>
    <w:rsid w:val="00863E48"/>
    <w:rsid w:val="008656AC"/>
    <w:rsid w:val="0087108A"/>
    <w:rsid w:val="008716AC"/>
    <w:rsid w:val="00874A45"/>
    <w:rsid w:val="00874FD8"/>
    <w:rsid w:val="0087644A"/>
    <w:rsid w:val="00876C1D"/>
    <w:rsid w:val="00884029"/>
    <w:rsid w:val="00886AF6"/>
    <w:rsid w:val="00890E72"/>
    <w:rsid w:val="00893F95"/>
    <w:rsid w:val="00896FBC"/>
    <w:rsid w:val="008974A3"/>
    <w:rsid w:val="008A0A86"/>
    <w:rsid w:val="008A0D2E"/>
    <w:rsid w:val="008A10E4"/>
    <w:rsid w:val="008A2FA5"/>
    <w:rsid w:val="008A4C62"/>
    <w:rsid w:val="008B064E"/>
    <w:rsid w:val="008B1F9C"/>
    <w:rsid w:val="008B2736"/>
    <w:rsid w:val="008B57CD"/>
    <w:rsid w:val="008B6139"/>
    <w:rsid w:val="008B61B0"/>
    <w:rsid w:val="008C1278"/>
    <w:rsid w:val="008D0404"/>
    <w:rsid w:val="008D1C32"/>
    <w:rsid w:val="008D1EC9"/>
    <w:rsid w:val="008D214B"/>
    <w:rsid w:val="008D6C76"/>
    <w:rsid w:val="008E1C2F"/>
    <w:rsid w:val="008F061F"/>
    <w:rsid w:val="008F2AD8"/>
    <w:rsid w:val="008F63D4"/>
    <w:rsid w:val="008F7B61"/>
    <w:rsid w:val="009014D5"/>
    <w:rsid w:val="00906C6A"/>
    <w:rsid w:val="00906E2F"/>
    <w:rsid w:val="00911750"/>
    <w:rsid w:val="009156CD"/>
    <w:rsid w:val="009177A9"/>
    <w:rsid w:val="00920C86"/>
    <w:rsid w:val="00922357"/>
    <w:rsid w:val="00923452"/>
    <w:rsid w:val="00924C9C"/>
    <w:rsid w:val="009274A9"/>
    <w:rsid w:val="0093472B"/>
    <w:rsid w:val="00940C24"/>
    <w:rsid w:val="00950EAC"/>
    <w:rsid w:val="00953E9E"/>
    <w:rsid w:val="00962D3B"/>
    <w:rsid w:val="0096407D"/>
    <w:rsid w:val="00965685"/>
    <w:rsid w:val="009670AF"/>
    <w:rsid w:val="00967F4B"/>
    <w:rsid w:val="00971028"/>
    <w:rsid w:val="009721F4"/>
    <w:rsid w:val="009722D4"/>
    <w:rsid w:val="009724EA"/>
    <w:rsid w:val="0097277F"/>
    <w:rsid w:val="00972D0F"/>
    <w:rsid w:val="00973687"/>
    <w:rsid w:val="00973AA6"/>
    <w:rsid w:val="00974877"/>
    <w:rsid w:val="00981B63"/>
    <w:rsid w:val="00982922"/>
    <w:rsid w:val="00985ABD"/>
    <w:rsid w:val="009934A0"/>
    <w:rsid w:val="009934B9"/>
    <w:rsid w:val="00995338"/>
    <w:rsid w:val="00997849"/>
    <w:rsid w:val="009A329F"/>
    <w:rsid w:val="009A78DE"/>
    <w:rsid w:val="009B55EE"/>
    <w:rsid w:val="009B589B"/>
    <w:rsid w:val="009B7852"/>
    <w:rsid w:val="009C347E"/>
    <w:rsid w:val="009D031D"/>
    <w:rsid w:val="009D39CA"/>
    <w:rsid w:val="009D3EBC"/>
    <w:rsid w:val="009E4A95"/>
    <w:rsid w:val="009E5856"/>
    <w:rsid w:val="009F1690"/>
    <w:rsid w:val="009F2299"/>
    <w:rsid w:val="009F40A2"/>
    <w:rsid w:val="009F51F1"/>
    <w:rsid w:val="009F58DE"/>
    <w:rsid w:val="009F5F71"/>
    <w:rsid w:val="00A02B22"/>
    <w:rsid w:val="00A0357F"/>
    <w:rsid w:val="00A1350B"/>
    <w:rsid w:val="00A140EE"/>
    <w:rsid w:val="00A16F50"/>
    <w:rsid w:val="00A210FF"/>
    <w:rsid w:val="00A215BE"/>
    <w:rsid w:val="00A2202A"/>
    <w:rsid w:val="00A24EA1"/>
    <w:rsid w:val="00A265FD"/>
    <w:rsid w:val="00A27854"/>
    <w:rsid w:val="00A30A0C"/>
    <w:rsid w:val="00A31BAD"/>
    <w:rsid w:val="00A344CF"/>
    <w:rsid w:val="00A35237"/>
    <w:rsid w:val="00A35391"/>
    <w:rsid w:val="00A36EBF"/>
    <w:rsid w:val="00A37A1C"/>
    <w:rsid w:val="00A41F43"/>
    <w:rsid w:val="00A4253A"/>
    <w:rsid w:val="00A4503B"/>
    <w:rsid w:val="00A47755"/>
    <w:rsid w:val="00A50CA0"/>
    <w:rsid w:val="00A558DF"/>
    <w:rsid w:val="00A5741B"/>
    <w:rsid w:val="00A6081F"/>
    <w:rsid w:val="00A64297"/>
    <w:rsid w:val="00A65755"/>
    <w:rsid w:val="00A6613C"/>
    <w:rsid w:val="00A70D5E"/>
    <w:rsid w:val="00A73599"/>
    <w:rsid w:val="00A77138"/>
    <w:rsid w:val="00A77E34"/>
    <w:rsid w:val="00A80E5B"/>
    <w:rsid w:val="00A81D05"/>
    <w:rsid w:val="00A82CC0"/>
    <w:rsid w:val="00A91145"/>
    <w:rsid w:val="00A91AC0"/>
    <w:rsid w:val="00A91E29"/>
    <w:rsid w:val="00A92C97"/>
    <w:rsid w:val="00A93652"/>
    <w:rsid w:val="00A966B2"/>
    <w:rsid w:val="00AA2D5B"/>
    <w:rsid w:val="00AA3D6A"/>
    <w:rsid w:val="00AB0FA7"/>
    <w:rsid w:val="00AB33D6"/>
    <w:rsid w:val="00AB6626"/>
    <w:rsid w:val="00AB6C87"/>
    <w:rsid w:val="00AC0F3A"/>
    <w:rsid w:val="00AC21C6"/>
    <w:rsid w:val="00AC36BE"/>
    <w:rsid w:val="00AC3EA5"/>
    <w:rsid w:val="00AC4D0A"/>
    <w:rsid w:val="00AC52D4"/>
    <w:rsid w:val="00AC5A84"/>
    <w:rsid w:val="00AC6D30"/>
    <w:rsid w:val="00AD07D8"/>
    <w:rsid w:val="00AD2E30"/>
    <w:rsid w:val="00AD51B6"/>
    <w:rsid w:val="00AE1342"/>
    <w:rsid w:val="00AE2E25"/>
    <w:rsid w:val="00AE52F0"/>
    <w:rsid w:val="00AE55A8"/>
    <w:rsid w:val="00AE6023"/>
    <w:rsid w:val="00AE6816"/>
    <w:rsid w:val="00AF2D16"/>
    <w:rsid w:val="00AF401F"/>
    <w:rsid w:val="00AF7805"/>
    <w:rsid w:val="00B013BE"/>
    <w:rsid w:val="00B024ED"/>
    <w:rsid w:val="00B026A5"/>
    <w:rsid w:val="00B036B7"/>
    <w:rsid w:val="00B04AF2"/>
    <w:rsid w:val="00B13179"/>
    <w:rsid w:val="00B13949"/>
    <w:rsid w:val="00B13CC0"/>
    <w:rsid w:val="00B1587B"/>
    <w:rsid w:val="00B21F2D"/>
    <w:rsid w:val="00B22192"/>
    <w:rsid w:val="00B2280C"/>
    <w:rsid w:val="00B2282F"/>
    <w:rsid w:val="00B24C43"/>
    <w:rsid w:val="00B27552"/>
    <w:rsid w:val="00B3075B"/>
    <w:rsid w:val="00B3373E"/>
    <w:rsid w:val="00B36E3B"/>
    <w:rsid w:val="00B437F4"/>
    <w:rsid w:val="00B45C3D"/>
    <w:rsid w:val="00B52A14"/>
    <w:rsid w:val="00B52E74"/>
    <w:rsid w:val="00B52EE2"/>
    <w:rsid w:val="00B61472"/>
    <w:rsid w:val="00B643FC"/>
    <w:rsid w:val="00B70453"/>
    <w:rsid w:val="00B72B3B"/>
    <w:rsid w:val="00B7318E"/>
    <w:rsid w:val="00B77FC6"/>
    <w:rsid w:val="00B80D2F"/>
    <w:rsid w:val="00B82076"/>
    <w:rsid w:val="00B82825"/>
    <w:rsid w:val="00B837D1"/>
    <w:rsid w:val="00B8391A"/>
    <w:rsid w:val="00B83A37"/>
    <w:rsid w:val="00B83C67"/>
    <w:rsid w:val="00B83E52"/>
    <w:rsid w:val="00B85094"/>
    <w:rsid w:val="00B85F33"/>
    <w:rsid w:val="00B86E2D"/>
    <w:rsid w:val="00B877DD"/>
    <w:rsid w:val="00B92780"/>
    <w:rsid w:val="00B9436F"/>
    <w:rsid w:val="00B9472D"/>
    <w:rsid w:val="00B9504B"/>
    <w:rsid w:val="00B953FC"/>
    <w:rsid w:val="00B97D93"/>
    <w:rsid w:val="00B97E54"/>
    <w:rsid w:val="00BA0255"/>
    <w:rsid w:val="00BA5DD8"/>
    <w:rsid w:val="00BA7A5F"/>
    <w:rsid w:val="00BB029B"/>
    <w:rsid w:val="00BB06AB"/>
    <w:rsid w:val="00BB075D"/>
    <w:rsid w:val="00BB1C73"/>
    <w:rsid w:val="00BB1DDB"/>
    <w:rsid w:val="00BB3E17"/>
    <w:rsid w:val="00BB41AD"/>
    <w:rsid w:val="00BB7A4B"/>
    <w:rsid w:val="00BB7A50"/>
    <w:rsid w:val="00BC1648"/>
    <w:rsid w:val="00BC20B5"/>
    <w:rsid w:val="00BC6918"/>
    <w:rsid w:val="00BD023D"/>
    <w:rsid w:val="00BD02D2"/>
    <w:rsid w:val="00BD3AAE"/>
    <w:rsid w:val="00BD55E3"/>
    <w:rsid w:val="00BE1CC1"/>
    <w:rsid w:val="00BE3EDF"/>
    <w:rsid w:val="00BE6753"/>
    <w:rsid w:val="00BF20AA"/>
    <w:rsid w:val="00BF31CF"/>
    <w:rsid w:val="00BF518D"/>
    <w:rsid w:val="00C01C8F"/>
    <w:rsid w:val="00C0463E"/>
    <w:rsid w:val="00C151F7"/>
    <w:rsid w:val="00C26B2E"/>
    <w:rsid w:val="00C26EA0"/>
    <w:rsid w:val="00C275A2"/>
    <w:rsid w:val="00C27768"/>
    <w:rsid w:val="00C308E1"/>
    <w:rsid w:val="00C34CE8"/>
    <w:rsid w:val="00C34E20"/>
    <w:rsid w:val="00C40A17"/>
    <w:rsid w:val="00C41BCA"/>
    <w:rsid w:val="00C43FFE"/>
    <w:rsid w:val="00C44C9C"/>
    <w:rsid w:val="00C44E7C"/>
    <w:rsid w:val="00C465E2"/>
    <w:rsid w:val="00C52442"/>
    <w:rsid w:val="00C544AB"/>
    <w:rsid w:val="00C602D5"/>
    <w:rsid w:val="00C60F84"/>
    <w:rsid w:val="00C61C20"/>
    <w:rsid w:val="00C65185"/>
    <w:rsid w:val="00C702CB"/>
    <w:rsid w:val="00C724A9"/>
    <w:rsid w:val="00C72685"/>
    <w:rsid w:val="00C731BA"/>
    <w:rsid w:val="00C76339"/>
    <w:rsid w:val="00C778C9"/>
    <w:rsid w:val="00C81C8C"/>
    <w:rsid w:val="00C839A3"/>
    <w:rsid w:val="00C8664A"/>
    <w:rsid w:val="00C8711B"/>
    <w:rsid w:val="00C90633"/>
    <w:rsid w:val="00C91264"/>
    <w:rsid w:val="00C92AE1"/>
    <w:rsid w:val="00C94713"/>
    <w:rsid w:val="00CA2FF3"/>
    <w:rsid w:val="00CA342D"/>
    <w:rsid w:val="00CA3759"/>
    <w:rsid w:val="00CA3D92"/>
    <w:rsid w:val="00CA44CE"/>
    <w:rsid w:val="00CA5438"/>
    <w:rsid w:val="00CA6A5F"/>
    <w:rsid w:val="00CB1580"/>
    <w:rsid w:val="00CB332D"/>
    <w:rsid w:val="00CB38D6"/>
    <w:rsid w:val="00CB3E3E"/>
    <w:rsid w:val="00CC035D"/>
    <w:rsid w:val="00CC07A2"/>
    <w:rsid w:val="00CC371F"/>
    <w:rsid w:val="00CC6445"/>
    <w:rsid w:val="00CD1141"/>
    <w:rsid w:val="00CD1E75"/>
    <w:rsid w:val="00CD3199"/>
    <w:rsid w:val="00CD3DDA"/>
    <w:rsid w:val="00CD3F09"/>
    <w:rsid w:val="00CD4548"/>
    <w:rsid w:val="00CD462E"/>
    <w:rsid w:val="00CD510D"/>
    <w:rsid w:val="00CD72C3"/>
    <w:rsid w:val="00CD7443"/>
    <w:rsid w:val="00CE1E92"/>
    <w:rsid w:val="00CE2009"/>
    <w:rsid w:val="00CF6EE7"/>
    <w:rsid w:val="00CF751D"/>
    <w:rsid w:val="00CF7589"/>
    <w:rsid w:val="00CF7F04"/>
    <w:rsid w:val="00D006F4"/>
    <w:rsid w:val="00D103A8"/>
    <w:rsid w:val="00D12957"/>
    <w:rsid w:val="00D12E6D"/>
    <w:rsid w:val="00D17533"/>
    <w:rsid w:val="00D2046B"/>
    <w:rsid w:val="00D22089"/>
    <w:rsid w:val="00D260E3"/>
    <w:rsid w:val="00D338F2"/>
    <w:rsid w:val="00D352DC"/>
    <w:rsid w:val="00D37185"/>
    <w:rsid w:val="00D40A12"/>
    <w:rsid w:val="00D41D67"/>
    <w:rsid w:val="00D46C5C"/>
    <w:rsid w:val="00D4703D"/>
    <w:rsid w:val="00D52D5E"/>
    <w:rsid w:val="00D545A2"/>
    <w:rsid w:val="00D54E79"/>
    <w:rsid w:val="00D55561"/>
    <w:rsid w:val="00D609AB"/>
    <w:rsid w:val="00D6370C"/>
    <w:rsid w:val="00D63DF0"/>
    <w:rsid w:val="00D65304"/>
    <w:rsid w:val="00D7057F"/>
    <w:rsid w:val="00D734D0"/>
    <w:rsid w:val="00D80A5F"/>
    <w:rsid w:val="00D81C36"/>
    <w:rsid w:val="00D86A6C"/>
    <w:rsid w:val="00D878C5"/>
    <w:rsid w:val="00D90CCB"/>
    <w:rsid w:val="00D918CC"/>
    <w:rsid w:val="00D929C3"/>
    <w:rsid w:val="00D92C40"/>
    <w:rsid w:val="00D94D42"/>
    <w:rsid w:val="00D94EA8"/>
    <w:rsid w:val="00D96231"/>
    <w:rsid w:val="00DA08DC"/>
    <w:rsid w:val="00DA2952"/>
    <w:rsid w:val="00DA2B4A"/>
    <w:rsid w:val="00DA3314"/>
    <w:rsid w:val="00DA5DB6"/>
    <w:rsid w:val="00DB3C0D"/>
    <w:rsid w:val="00DB6002"/>
    <w:rsid w:val="00DB7DD7"/>
    <w:rsid w:val="00DC0DFC"/>
    <w:rsid w:val="00DC1D4A"/>
    <w:rsid w:val="00DC3AFE"/>
    <w:rsid w:val="00DD01EB"/>
    <w:rsid w:val="00DD0FF9"/>
    <w:rsid w:val="00DD2E87"/>
    <w:rsid w:val="00DD3012"/>
    <w:rsid w:val="00DD3528"/>
    <w:rsid w:val="00DD4263"/>
    <w:rsid w:val="00DD6CB0"/>
    <w:rsid w:val="00DE01F7"/>
    <w:rsid w:val="00DE0ED1"/>
    <w:rsid w:val="00DE2EBF"/>
    <w:rsid w:val="00DE38C5"/>
    <w:rsid w:val="00DE5908"/>
    <w:rsid w:val="00DE7FFD"/>
    <w:rsid w:val="00DF15A7"/>
    <w:rsid w:val="00DF1725"/>
    <w:rsid w:val="00DF293E"/>
    <w:rsid w:val="00DF30DD"/>
    <w:rsid w:val="00DF5AF9"/>
    <w:rsid w:val="00DF6D1F"/>
    <w:rsid w:val="00DF74C8"/>
    <w:rsid w:val="00E009AC"/>
    <w:rsid w:val="00E0278C"/>
    <w:rsid w:val="00E03A04"/>
    <w:rsid w:val="00E047FE"/>
    <w:rsid w:val="00E049F7"/>
    <w:rsid w:val="00E150B9"/>
    <w:rsid w:val="00E17772"/>
    <w:rsid w:val="00E22617"/>
    <w:rsid w:val="00E243E7"/>
    <w:rsid w:val="00E26BB7"/>
    <w:rsid w:val="00E31444"/>
    <w:rsid w:val="00E40568"/>
    <w:rsid w:val="00E40BF8"/>
    <w:rsid w:val="00E4251B"/>
    <w:rsid w:val="00E43BC2"/>
    <w:rsid w:val="00E44F48"/>
    <w:rsid w:val="00E46025"/>
    <w:rsid w:val="00E473C8"/>
    <w:rsid w:val="00E47E9E"/>
    <w:rsid w:val="00E50280"/>
    <w:rsid w:val="00E5064E"/>
    <w:rsid w:val="00E518D4"/>
    <w:rsid w:val="00E52551"/>
    <w:rsid w:val="00E53A66"/>
    <w:rsid w:val="00E558BC"/>
    <w:rsid w:val="00E5788D"/>
    <w:rsid w:val="00E60418"/>
    <w:rsid w:val="00E60B4D"/>
    <w:rsid w:val="00E61929"/>
    <w:rsid w:val="00E61E3E"/>
    <w:rsid w:val="00E63DBD"/>
    <w:rsid w:val="00E64E5D"/>
    <w:rsid w:val="00E65199"/>
    <w:rsid w:val="00E65E52"/>
    <w:rsid w:val="00E7248D"/>
    <w:rsid w:val="00E72850"/>
    <w:rsid w:val="00E7523F"/>
    <w:rsid w:val="00E7577C"/>
    <w:rsid w:val="00E7786B"/>
    <w:rsid w:val="00E77916"/>
    <w:rsid w:val="00E77EF2"/>
    <w:rsid w:val="00E81607"/>
    <w:rsid w:val="00E82FA7"/>
    <w:rsid w:val="00E83AB2"/>
    <w:rsid w:val="00E8444F"/>
    <w:rsid w:val="00E84BDE"/>
    <w:rsid w:val="00E86137"/>
    <w:rsid w:val="00E86FA3"/>
    <w:rsid w:val="00E91C61"/>
    <w:rsid w:val="00E91E01"/>
    <w:rsid w:val="00E95CA7"/>
    <w:rsid w:val="00E963D7"/>
    <w:rsid w:val="00E9794D"/>
    <w:rsid w:val="00E97ACF"/>
    <w:rsid w:val="00EA0423"/>
    <w:rsid w:val="00EA0781"/>
    <w:rsid w:val="00EA6507"/>
    <w:rsid w:val="00EB269E"/>
    <w:rsid w:val="00EB296D"/>
    <w:rsid w:val="00EB49F1"/>
    <w:rsid w:val="00EB5001"/>
    <w:rsid w:val="00EC06AA"/>
    <w:rsid w:val="00EC331D"/>
    <w:rsid w:val="00EC41E2"/>
    <w:rsid w:val="00EC4E05"/>
    <w:rsid w:val="00EC57B4"/>
    <w:rsid w:val="00EC5B8B"/>
    <w:rsid w:val="00EC5D33"/>
    <w:rsid w:val="00EC662C"/>
    <w:rsid w:val="00EC6847"/>
    <w:rsid w:val="00ED2520"/>
    <w:rsid w:val="00ED7763"/>
    <w:rsid w:val="00ED7CFC"/>
    <w:rsid w:val="00EE13E7"/>
    <w:rsid w:val="00EE19F8"/>
    <w:rsid w:val="00EE26DE"/>
    <w:rsid w:val="00EE4F9B"/>
    <w:rsid w:val="00EE569E"/>
    <w:rsid w:val="00EE7EC0"/>
    <w:rsid w:val="00EF4C94"/>
    <w:rsid w:val="00EF5C80"/>
    <w:rsid w:val="00EF5EFA"/>
    <w:rsid w:val="00EF6F2B"/>
    <w:rsid w:val="00EF765B"/>
    <w:rsid w:val="00F02EDB"/>
    <w:rsid w:val="00F05CAB"/>
    <w:rsid w:val="00F06546"/>
    <w:rsid w:val="00F1148F"/>
    <w:rsid w:val="00F12866"/>
    <w:rsid w:val="00F142EE"/>
    <w:rsid w:val="00F17048"/>
    <w:rsid w:val="00F20710"/>
    <w:rsid w:val="00F21A43"/>
    <w:rsid w:val="00F23FEA"/>
    <w:rsid w:val="00F246CF"/>
    <w:rsid w:val="00F273D4"/>
    <w:rsid w:val="00F27E45"/>
    <w:rsid w:val="00F3365E"/>
    <w:rsid w:val="00F34DDE"/>
    <w:rsid w:val="00F35924"/>
    <w:rsid w:val="00F37C6E"/>
    <w:rsid w:val="00F37EA4"/>
    <w:rsid w:val="00F464AD"/>
    <w:rsid w:val="00F47241"/>
    <w:rsid w:val="00F53999"/>
    <w:rsid w:val="00F66436"/>
    <w:rsid w:val="00F66CA0"/>
    <w:rsid w:val="00F71956"/>
    <w:rsid w:val="00F7292B"/>
    <w:rsid w:val="00F739AD"/>
    <w:rsid w:val="00F74D9B"/>
    <w:rsid w:val="00F760FB"/>
    <w:rsid w:val="00F815DA"/>
    <w:rsid w:val="00F8287E"/>
    <w:rsid w:val="00F85EEC"/>
    <w:rsid w:val="00F862C8"/>
    <w:rsid w:val="00F877BB"/>
    <w:rsid w:val="00F90E13"/>
    <w:rsid w:val="00F91523"/>
    <w:rsid w:val="00F9333C"/>
    <w:rsid w:val="00F94123"/>
    <w:rsid w:val="00F94B27"/>
    <w:rsid w:val="00FB10A8"/>
    <w:rsid w:val="00FB3AE0"/>
    <w:rsid w:val="00FB4E61"/>
    <w:rsid w:val="00FB4F0D"/>
    <w:rsid w:val="00FB4F32"/>
    <w:rsid w:val="00FB6CB7"/>
    <w:rsid w:val="00FC0AB7"/>
    <w:rsid w:val="00FC1E2F"/>
    <w:rsid w:val="00FC2D94"/>
    <w:rsid w:val="00FC3977"/>
    <w:rsid w:val="00FC47D9"/>
    <w:rsid w:val="00FC4D06"/>
    <w:rsid w:val="00FD0D61"/>
    <w:rsid w:val="00FD105A"/>
    <w:rsid w:val="00FD381D"/>
    <w:rsid w:val="00FD3BA5"/>
    <w:rsid w:val="00FD58B9"/>
    <w:rsid w:val="00FD6CCD"/>
    <w:rsid w:val="00FD76C9"/>
    <w:rsid w:val="00FE7415"/>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3740CF3"/>
  <w15:docId w15:val="{374888C4-7C47-4310-8A75-145D2E57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711"/>
    <w:rPr>
      <w:rFonts w:ascii="Courier New" w:hAnsi="Courier New"/>
      <w:lang w:val="es-ES_tradnl" w:eastAsia="es-ES"/>
    </w:rPr>
  </w:style>
  <w:style w:type="paragraph" w:styleId="Ttulo1">
    <w:name w:val="heading 1"/>
    <w:basedOn w:val="Normal"/>
    <w:next w:val="Normal"/>
    <w:link w:val="Ttulo1Car"/>
    <w:qFormat/>
    <w:rsid w:val="00596711"/>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596711"/>
    <w:pPr>
      <w:tabs>
        <w:tab w:val="left" w:pos="5387"/>
      </w:tabs>
      <w:ind w:left="5387" w:right="-232" w:hanging="567"/>
      <w:jc w:val="both"/>
    </w:pPr>
    <w:rPr>
      <w:rFonts w:ascii="Arial" w:hAnsi="Arial"/>
      <w:sz w:val="22"/>
    </w:rPr>
  </w:style>
  <w:style w:type="paragraph" w:styleId="Sangradetextonormal">
    <w:name w:val="Body Text Indent"/>
    <w:basedOn w:val="Normal"/>
    <w:rsid w:val="00596711"/>
    <w:pPr>
      <w:tabs>
        <w:tab w:val="left" w:pos="4820"/>
        <w:tab w:val="left" w:pos="5387"/>
      </w:tabs>
      <w:ind w:left="5387" w:hanging="5387"/>
      <w:jc w:val="both"/>
    </w:pPr>
    <w:rPr>
      <w:rFonts w:ascii="Arial" w:hAnsi="Arial"/>
      <w:sz w:val="22"/>
    </w:rPr>
  </w:style>
  <w:style w:type="paragraph" w:styleId="Sangra2detindependiente">
    <w:name w:val="Body Text Indent 2"/>
    <w:basedOn w:val="Normal"/>
    <w:rsid w:val="00596711"/>
    <w:pPr>
      <w:ind w:left="426" w:firstLine="567"/>
      <w:jc w:val="both"/>
    </w:pPr>
    <w:rPr>
      <w:rFonts w:ascii="Arial" w:hAnsi="Arial"/>
      <w:sz w:val="22"/>
    </w:rPr>
  </w:style>
  <w:style w:type="paragraph" w:styleId="Sangra3detindependiente">
    <w:name w:val="Body Text Indent 3"/>
    <w:basedOn w:val="Normal"/>
    <w:rsid w:val="00596711"/>
    <w:pPr>
      <w:tabs>
        <w:tab w:val="left" w:pos="4820"/>
        <w:tab w:val="left" w:pos="5387"/>
      </w:tabs>
      <w:ind w:left="5672" w:hanging="852"/>
      <w:jc w:val="both"/>
    </w:pPr>
    <w:rPr>
      <w:rFonts w:ascii="Arial" w:hAnsi="Arial"/>
      <w:sz w:val="22"/>
    </w:rPr>
  </w:style>
  <w:style w:type="paragraph" w:styleId="Textoindependiente">
    <w:name w:val="Body Text"/>
    <w:basedOn w:val="Normal"/>
    <w:rsid w:val="00596711"/>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Ttulo">
    <w:name w:val="Title"/>
    <w:basedOn w:val="Normal"/>
    <w:next w:val="Normal"/>
    <w:link w:val="TtuloCar"/>
    <w:qFormat/>
    <w:rsid w:val="00F246CF"/>
    <w:pPr>
      <w:spacing w:before="240" w:after="60"/>
      <w:jc w:val="center"/>
      <w:outlineLvl w:val="0"/>
    </w:pPr>
    <w:rPr>
      <w:rFonts w:ascii="Cambria" w:hAnsi="Cambria"/>
      <w:b/>
      <w:bCs/>
      <w:kern w:val="28"/>
      <w:sz w:val="32"/>
      <w:szCs w:val="32"/>
    </w:rPr>
  </w:style>
  <w:style w:type="character" w:customStyle="1" w:styleId="TtuloCar">
    <w:name w:val="Título Car"/>
    <w:link w:val="Ttul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customStyle="1" w:styleId="PrrafodelistaCar">
    <w:name w:val="Párrafo de lista Car"/>
    <w:link w:val="Prrafodelista"/>
    <w:uiPriority w:val="34"/>
    <w:locked/>
    <w:rsid w:val="005402EA"/>
    <w:rPr>
      <w:rFonts w:ascii="Courier New" w:hAnsi="Courier New"/>
      <w:lang w:val="es-ES_tradnl" w:eastAsia="es-ES"/>
    </w:rPr>
  </w:style>
  <w:style w:type="table" w:customStyle="1" w:styleId="Tablaconcuadrcula10">
    <w:name w:val="Tabla con cuadrícula10"/>
    <w:basedOn w:val="Tablanormal"/>
    <w:rsid w:val="005402EA"/>
    <w:rPr>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4D5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407964212">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05039802">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68860F01-3CF2-4C08-9940-E294A32A8948}"/>
</file>

<file path=customXml/itemProps2.xml><?xml version="1.0" encoding="utf-8"?>
<ds:datastoreItem xmlns:ds="http://schemas.openxmlformats.org/officeDocument/2006/customXml" ds:itemID="{A0BE7FBF-00E2-470C-ACF1-7E51E1D7BDA1}"/>
</file>

<file path=customXml/itemProps3.xml><?xml version="1.0" encoding="utf-8"?>
<ds:datastoreItem xmlns:ds="http://schemas.openxmlformats.org/officeDocument/2006/customXml" ds:itemID="{9A22C300-489A-4A3E-AA72-F3658D2C3142}"/>
</file>

<file path=customXml/itemProps4.xml><?xml version="1.0" encoding="utf-8"?>
<ds:datastoreItem xmlns:ds="http://schemas.openxmlformats.org/officeDocument/2006/customXml" ds:itemID="{7CCB912A-F79C-4546-990C-25839911A153}"/>
</file>

<file path=docProps/app.xml><?xml version="1.0" encoding="utf-8"?>
<Properties xmlns="http://schemas.openxmlformats.org/officeDocument/2006/extended-properties" xmlns:vt="http://schemas.openxmlformats.org/officeDocument/2006/docPropsVTypes">
  <Template>Normal</Template>
  <TotalTime>3</TotalTime>
  <Pages>6</Pages>
  <Words>2618</Words>
  <Characters>13498</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GGIMPEL</dc:creator>
  <cp:lastModifiedBy>Carolina Silva Moraga</cp:lastModifiedBy>
  <cp:revision>4</cp:revision>
  <cp:lastPrinted>2019-04-01T13:38:00Z</cp:lastPrinted>
  <dcterms:created xsi:type="dcterms:W3CDTF">2021-10-16T16:15:00Z</dcterms:created>
  <dcterms:modified xsi:type="dcterms:W3CDTF">2021-10-25T13:57:00Z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