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2DC97" w14:textId="353298A3" w:rsidR="00D659FA" w:rsidRPr="00AD6B57" w:rsidRDefault="00D659FA" w:rsidP="00977DC9">
      <w:pPr>
        <w:spacing w:line="360" w:lineRule="auto"/>
        <w:jc w:val="both"/>
        <w:rPr>
          <w:rFonts w:ascii="gobCL" w:hAnsi="gobCL"/>
          <w:b/>
          <w:bCs/>
          <w:color w:val="008BD4"/>
          <w:sz w:val="52"/>
          <w:szCs w:val="52"/>
          <w:lang w:val="es-ES"/>
        </w:rPr>
      </w:pPr>
      <w:r w:rsidRPr="00AD6B57">
        <w:rPr>
          <w:rFonts w:ascii="gobCL" w:hAnsi="gobCL"/>
          <w:b/>
          <w:bCs/>
          <w:noProof/>
          <w:color w:val="008BD4"/>
          <w:sz w:val="52"/>
          <w:szCs w:val="52"/>
          <w:lang w:val="es-ES"/>
        </w:rPr>
        <mc:AlternateContent>
          <mc:Choice Requires="wps">
            <w:drawing>
              <wp:anchor distT="0" distB="0" distL="114300" distR="114300" simplePos="0" relativeHeight="251675648" behindDoc="0" locked="0" layoutInCell="1" allowOverlap="1" wp14:anchorId="71167C5B" wp14:editId="390AE27F">
                <wp:simplePos x="0" y="0"/>
                <wp:positionH relativeFrom="margin">
                  <wp:posOffset>-51435</wp:posOffset>
                </wp:positionH>
                <wp:positionV relativeFrom="paragraph">
                  <wp:posOffset>-20321</wp:posOffset>
                </wp:positionV>
                <wp:extent cx="5612130" cy="7334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612130" cy="733425"/>
                        </a:xfrm>
                        <a:prstGeom prst="rect">
                          <a:avLst/>
                        </a:prstGeom>
                        <a:noFill/>
                        <a:ln w="6350">
                          <a:noFill/>
                        </a:ln>
                      </wps:spPr>
                      <wps:txbx>
                        <w:txbxContent>
                          <w:p w14:paraId="59962022" w14:textId="270B3ABC" w:rsidR="00D659FA" w:rsidRDefault="00D659FA" w:rsidP="00D659FA">
                            <w:pPr>
                              <w:jc w:val="center"/>
                              <w:rPr>
                                <w:rFonts w:ascii="gobCL" w:hAnsi="gobCL"/>
                                <w:b/>
                                <w:bCs/>
                                <w:color w:val="FFFFFF" w:themeColor="background1"/>
                                <w:sz w:val="32"/>
                                <w:szCs w:val="32"/>
                                <w:lang w:val="es-ES"/>
                              </w:rPr>
                            </w:pPr>
                            <w:r w:rsidRPr="00410CAA">
                              <w:rPr>
                                <w:rFonts w:ascii="gobCL" w:hAnsi="gobCL"/>
                                <w:b/>
                                <w:bCs/>
                                <w:color w:val="FFFFFF" w:themeColor="background1"/>
                                <w:sz w:val="32"/>
                                <w:szCs w:val="32"/>
                                <w:lang w:val="es-ES"/>
                              </w:rPr>
                              <w:t>Minuta</w:t>
                            </w:r>
                            <w:r w:rsidR="00301F26" w:rsidRPr="00410CAA">
                              <w:rPr>
                                <w:rFonts w:ascii="gobCL" w:hAnsi="gobCL"/>
                                <w:b/>
                                <w:bCs/>
                                <w:color w:val="FFFFFF" w:themeColor="background1"/>
                                <w:sz w:val="32"/>
                                <w:szCs w:val="32"/>
                                <w:lang w:val="es-ES"/>
                              </w:rPr>
                              <w:t xml:space="preserve"> Técnica</w:t>
                            </w:r>
                          </w:p>
                          <w:p w14:paraId="508923FD" w14:textId="6740D07C" w:rsidR="00410CAA" w:rsidRPr="00410CAA" w:rsidRDefault="00410CAA" w:rsidP="00D659FA">
                            <w:pPr>
                              <w:jc w:val="center"/>
                              <w:rPr>
                                <w:rFonts w:ascii="gobCL" w:hAnsi="gobCL"/>
                                <w:b/>
                                <w:bCs/>
                                <w:color w:val="FFFFFF" w:themeColor="background1"/>
                                <w:sz w:val="32"/>
                                <w:szCs w:val="32"/>
                                <w:lang w:val="es-ES"/>
                              </w:rPr>
                            </w:pPr>
                            <w:r>
                              <w:rPr>
                                <w:rFonts w:ascii="gobCL" w:hAnsi="gobCL"/>
                                <w:b/>
                                <w:bCs/>
                                <w:color w:val="FFFFFF" w:themeColor="background1"/>
                                <w:sz w:val="32"/>
                                <w:szCs w:val="32"/>
                                <w:lang w:val="es-ES"/>
                              </w:rPr>
                              <w:t xml:space="preserve">Glosa </w:t>
                            </w:r>
                            <w:r w:rsidR="006052B3">
                              <w:rPr>
                                <w:rFonts w:ascii="gobCL" w:hAnsi="gobCL"/>
                                <w:b/>
                                <w:bCs/>
                                <w:color w:val="FFFFFF" w:themeColor="background1"/>
                                <w:sz w:val="32"/>
                                <w:szCs w:val="32"/>
                                <w:lang w:val="es-ES"/>
                              </w:rPr>
                              <w:t>5b -</w:t>
                            </w:r>
                            <w:r>
                              <w:rPr>
                                <w:rFonts w:ascii="gobCL" w:hAnsi="gobCL"/>
                                <w:b/>
                                <w:bCs/>
                                <w:color w:val="FFFFFF" w:themeColor="background1"/>
                                <w:sz w:val="32"/>
                                <w:szCs w:val="32"/>
                                <w:lang w:val="es-ES"/>
                              </w:rPr>
                              <w:t xml:space="preserve"> Roturas de Matrices.</w:t>
                            </w:r>
                          </w:p>
                          <w:p w14:paraId="08B51F52" w14:textId="77777777" w:rsidR="00D659FA" w:rsidRDefault="00D65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67C5B" id="_x0000_t202" coordsize="21600,21600" o:spt="202" path="m,l,21600r21600,l21600,xe">
                <v:stroke joinstyle="miter"/>
                <v:path gradientshapeok="t" o:connecttype="rect"/>
              </v:shapetype>
              <v:shape id="Cuadro de texto 9" o:spid="_x0000_s1026" type="#_x0000_t202" style="position:absolute;left:0;text-align:left;margin-left:-4.05pt;margin-top:-1.6pt;width:441.9pt;height:5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f5FwIAACw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" filled="f" stroked="f" strokeweight=".5pt">
                <v:textbox>
                  <w:txbxContent>
                    <w:p w14:paraId="59962022" w14:textId="270B3ABC" w:rsidR="00D659FA" w:rsidRDefault="00D659FA" w:rsidP="00D659FA">
                      <w:pPr>
                        <w:jc w:val="center"/>
                        <w:rPr>
                          <w:rFonts w:ascii="gobCL" w:hAnsi="gobCL"/>
                          <w:b/>
                          <w:bCs/>
                          <w:color w:val="FFFFFF" w:themeColor="background1"/>
                          <w:sz w:val="32"/>
                          <w:szCs w:val="32"/>
                          <w:lang w:val="es-ES"/>
                        </w:rPr>
                      </w:pPr>
                      <w:r w:rsidRPr="00410CAA">
                        <w:rPr>
                          <w:rFonts w:ascii="gobCL" w:hAnsi="gobCL"/>
                          <w:b/>
                          <w:bCs/>
                          <w:color w:val="FFFFFF" w:themeColor="background1"/>
                          <w:sz w:val="32"/>
                          <w:szCs w:val="32"/>
                          <w:lang w:val="es-ES"/>
                        </w:rPr>
                        <w:t>Minuta</w:t>
                      </w:r>
                      <w:r w:rsidR="00301F26" w:rsidRPr="00410CAA">
                        <w:rPr>
                          <w:rFonts w:ascii="gobCL" w:hAnsi="gobCL"/>
                          <w:b/>
                          <w:bCs/>
                          <w:color w:val="FFFFFF" w:themeColor="background1"/>
                          <w:sz w:val="32"/>
                          <w:szCs w:val="32"/>
                          <w:lang w:val="es-ES"/>
                        </w:rPr>
                        <w:t xml:space="preserve"> Técnica</w:t>
                      </w:r>
                    </w:p>
                    <w:p w14:paraId="508923FD" w14:textId="6740D07C" w:rsidR="00410CAA" w:rsidRPr="00410CAA" w:rsidRDefault="00410CAA" w:rsidP="00D659FA">
                      <w:pPr>
                        <w:jc w:val="center"/>
                        <w:rPr>
                          <w:rFonts w:ascii="gobCL" w:hAnsi="gobCL"/>
                          <w:b/>
                          <w:bCs/>
                          <w:color w:val="FFFFFF" w:themeColor="background1"/>
                          <w:sz w:val="32"/>
                          <w:szCs w:val="32"/>
                          <w:lang w:val="es-ES"/>
                        </w:rPr>
                      </w:pPr>
                      <w:r>
                        <w:rPr>
                          <w:rFonts w:ascii="gobCL" w:hAnsi="gobCL"/>
                          <w:b/>
                          <w:bCs/>
                          <w:color w:val="FFFFFF" w:themeColor="background1"/>
                          <w:sz w:val="32"/>
                          <w:szCs w:val="32"/>
                          <w:lang w:val="es-ES"/>
                        </w:rPr>
                        <w:t xml:space="preserve">Glosa </w:t>
                      </w:r>
                      <w:r w:rsidR="006052B3">
                        <w:rPr>
                          <w:rFonts w:ascii="gobCL" w:hAnsi="gobCL"/>
                          <w:b/>
                          <w:bCs/>
                          <w:color w:val="FFFFFF" w:themeColor="background1"/>
                          <w:sz w:val="32"/>
                          <w:szCs w:val="32"/>
                          <w:lang w:val="es-ES"/>
                        </w:rPr>
                        <w:t>5b -</w:t>
                      </w:r>
                      <w:r>
                        <w:rPr>
                          <w:rFonts w:ascii="gobCL" w:hAnsi="gobCL"/>
                          <w:b/>
                          <w:bCs/>
                          <w:color w:val="FFFFFF" w:themeColor="background1"/>
                          <w:sz w:val="32"/>
                          <w:szCs w:val="32"/>
                          <w:lang w:val="es-ES"/>
                        </w:rPr>
                        <w:t xml:space="preserve"> Roturas de Matrices.</w:t>
                      </w:r>
                    </w:p>
                    <w:p w14:paraId="08B51F52" w14:textId="77777777" w:rsidR="00D659FA" w:rsidRDefault="00D659FA"/>
                  </w:txbxContent>
                </v:textbox>
                <w10:wrap anchorx="margin"/>
              </v:shape>
            </w:pict>
          </mc:Fallback>
        </mc:AlternateContent>
      </w:r>
      <w:r w:rsidRPr="00AD6B57">
        <w:rPr>
          <w:rFonts w:ascii="gobCL" w:hAnsi="gobCL"/>
          <w:b/>
          <w:bCs/>
          <w:noProof/>
          <w:color w:val="008BD4"/>
          <w:sz w:val="52"/>
          <w:szCs w:val="52"/>
          <w:lang w:val="es-ES"/>
        </w:rPr>
        <w:drawing>
          <wp:inline distT="0" distB="0" distL="0" distR="0" wp14:anchorId="1E851D66" wp14:editId="765CB846">
            <wp:extent cx="5612130" cy="771525"/>
            <wp:effectExtent l="0" t="0" r="762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a:extLst>
                        <a:ext uri="{28A0092B-C50C-407E-A947-70E740481C1C}">
                          <a14:useLocalDpi xmlns:a14="http://schemas.microsoft.com/office/drawing/2010/main" val="0"/>
                        </a:ext>
                      </a:extLst>
                    </a:blip>
                    <a:stretch>
                      <a:fillRect/>
                    </a:stretch>
                  </pic:blipFill>
                  <pic:spPr>
                    <a:xfrm>
                      <a:off x="0" y="0"/>
                      <a:ext cx="5612130" cy="771525"/>
                    </a:xfrm>
                    <a:prstGeom prst="rect">
                      <a:avLst/>
                    </a:prstGeom>
                  </pic:spPr>
                </pic:pic>
              </a:graphicData>
            </a:graphic>
          </wp:inline>
        </w:drawing>
      </w:r>
    </w:p>
    <w:p w14:paraId="63816635" w14:textId="3D427A62" w:rsidR="00E80F91" w:rsidRPr="00AD6B57" w:rsidRDefault="00A2206B" w:rsidP="00977DC9">
      <w:pPr>
        <w:spacing w:line="360" w:lineRule="auto"/>
        <w:jc w:val="both"/>
        <w:rPr>
          <w:rFonts w:ascii="gobCL" w:hAnsi="gobCL"/>
          <w:szCs w:val="22"/>
          <w:lang w:val="es-ES"/>
        </w:rPr>
      </w:pPr>
      <w:r w:rsidRPr="00AD6B57">
        <w:rPr>
          <w:rFonts w:ascii="gobCL" w:hAnsi="gobCL"/>
          <w:szCs w:val="22"/>
          <w:lang w:val="es-ES"/>
        </w:rPr>
        <w:t>L</w:t>
      </w:r>
      <w:r w:rsidR="00E80F91" w:rsidRPr="00AD6B57">
        <w:rPr>
          <w:rFonts w:ascii="gobCL" w:hAnsi="gobCL"/>
          <w:szCs w:val="22"/>
          <w:lang w:val="es-ES"/>
        </w:rPr>
        <w:t>a</w:t>
      </w:r>
      <w:r w:rsidRPr="00AD6B57">
        <w:rPr>
          <w:rFonts w:ascii="gobCL" w:hAnsi="gobCL"/>
          <w:szCs w:val="22"/>
          <w:lang w:val="es-ES"/>
        </w:rPr>
        <w:t xml:space="preserve"> presente </w:t>
      </w:r>
      <w:r w:rsidR="00301F26" w:rsidRPr="00AD6B57">
        <w:rPr>
          <w:rFonts w:ascii="gobCL" w:hAnsi="gobCL"/>
          <w:szCs w:val="22"/>
          <w:lang w:val="es-ES"/>
        </w:rPr>
        <w:t>Minuta</w:t>
      </w:r>
      <w:r w:rsidR="00E80F91" w:rsidRPr="00AD6B57">
        <w:rPr>
          <w:rFonts w:ascii="gobCL" w:hAnsi="gobCL"/>
          <w:szCs w:val="22"/>
          <w:lang w:val="es-ES"/>
        </w:rPr>
        <w:t xml:space="preserve"> hace referencia a la Ley N° 21.516, en específico al </w:t>
      </w:r>
      <w:r w:rsidRPr="00AD6B57">
        <w:rPr>
          <w:rFonts w:ascii="gobCL" w:hAnsi="gobCL"/>
          <w:szCs w:val="22"/>
          <w:lang w:val="es-ES"/>
        </w:rPr>
        <w:t xml:space="preserve">Capítulo N° 7 </w:t>
      </w:r>
      <w:r w:rsidR="00E80F91" w:rsidRPr="00AD6B57">
        <w:rPr>
          <w:rFonts w:ascii="gobCL" w:hAnsi="gobCL"/>
          <w:szCs w:val="22"/>
          <w:lang w:val="es-ES"/>
        </w:rPr>
        <w:t>de la partida del presupuesto correspondiente al Ministerio de Obras Públicas donde se establecen otros deberes de información a los considerados en la ley de presupuesto del año 2023, asociado a la Superintendencia de Servicios Sanitarios.</w:t>
      </w:r>
    </w:p>
    <w:p w14:paraId="1BFD6014" w14:textId="77777777" w:rsidR="00E80F91" w:rsidRPr="00AD6B57" w:rsidRDefault="00E80F91" w:rsidP="00977DC9">
      <w:pPr>
        <w:spacing w:line="360" w:lineRule="auto"/>
        <w:jc w:val="both"/>
        <w:rPr>
          <w:rFonts w:ascii="gobCL" w:hAnsi="gobCL"/>
          <w:szCs w:val="22"/>
          <w:lang w:val="es-ES"/>
        </w:rPr>
      </w:pPr>
    </w:p>
    <w:p w14:paraId="77A403DD" w14:textId="224D17F4" w:rsidR="00A2206B" w:rsidRPr="00AD6B57" w:rsidRDefault="00E80F91" w:rsidP="00977DC9">
      <w:pPr>
        <w:pStyle w:val="Prrafodelista"/>
        <w:autoSpaceDE w:val="0"/>
        <w:autoSpaceDN w:val="0"/>
        <w:adjustRightInd w:val="0"/>
        <w:spacing w:line="360" w:lineRule="auto"/>
        <w:ind w:left="567" w:right="616"/>
        <w:jc w:val="both"/>
        <w:rPr>
          <w:rFonts w:ascii="gobCL" w:eastAsiaTheme="minorHAnsi" w:hAnsi="gobCL" w:cstheme="minorBidi"/>
          <w:lang w:val="es-ES" w:eastAsia="en-US"/>
        </w:rPr>
      </w:pPr>
      <w:r w:rsidRPr="00AD6B57">
        <w:rPr>
          <w:rFonts w:ascii="gobCL" w:eastAsiaTheme="minorHAnsi" w:hAnsi="gobCL" w:cstheme="minorBidi"/>
          <w:lang w:val="es-ES" w:eastAsia="en-US"/>
        </w:rPr>
        <w:t>“</w:t>
      </w:r>
      <w:r w:rsidR="00A2206B" w:rsidRPr="00AD6B57">
        <w:rPr>
          <w:rFonts w:ascii="gobCL" w:eastAsiaTheme="minorHAnsi" w:hAnsi="gobCL" w:cstheme="minorBidi"/>
          <w:lang w:val="es-ES" w:eastAsia="en-US"/>
        </w:rPr>
        <w:t xml:space="preserve">La SISS deberá informar trimestralmente a la Comisión Especial Mixta de Presupuestos, a la Comisión de Obras Públicas, Transportes y Telecomunicaciones y a la Comisión de Recursos Hídricos y Desertificación de la Cámara de Diputados, </w:t>
      </w:r>
      <w:r w:rsidR="00A2206B" w:rsidRPr="00AD6B57">
        <w:rPr>
          <w:rFonts w:ascii="gobCL" w:eastAsiaTheme="minorHAnsi" w:hAnsi="gobCL" w:cstheme="minorBidi"/>
          <w:b/>
          <w:bCs/>
          <w:u w:val="single"/>
          <w:lang w:val="es-ES" w:eastAsia="en-US"/>
        </w:rPr>
        <w:t xml:space="preserve">las roturas de matriz </w:t>
      </w:r>
      <w:r w:rsidR="00A2206B" w:rsidRPr="00AD6B57">
        <w:rPr>
          <w:rFonts w:ascii="gobCL" w:hAnsi="gobCL"/>
          <w:b/>
          <w:bCs/>
          <w:u w:val="single"/>
          <w:lang w:val="es-ES"/>
        </w:rPr>
        <w:t>ocurridas en el país, su duración, un aproximado de la cantidad de agua desperdiciada, las medidas dispuestas para solucionarlas, los planes de contingencia de las empresas, las fiscalizaciones realizadas y sus sanciones</w:t>
      </w:r>
      <w:r w:rsidR="00C200AD" w:rsidRPr="00AD6B57">
        <w:rPr>
          <w:rStyle w:val="Refdenotaalpie"/>
          <w:rFonts w:ascii="gobCL" w:hAnsi="gobCL"/>
          <w:b/>
          <w:bCs/>
          <w:u w:val="single"/>
          <w:lang w:val="es-ES"/>
        </w:rPr>
        <w:footnoteReference w:id="1"/>
      </w:r>
      <w:r w:rsidR="00A2206B" w:rsidRPr="00AD6B57">
        <w:rPr>
          <w:rFonts w:ascii="gobCL" w:hAnsi="gobCL"/>
          <w:lang w:val="es-ES"/>
        </w:rPr>
        <w:t>.</w:t>
      </w:r>
      <w:r w:rsidRPr="00AD6B57">
        <w:rPr>
          <w:rFonts w:ascii="gobCL" w:hAnsi="gobCL"/>
          <w:lang w:val="es-ES"/>
        </w:rPr>
        <w:t>”</w:t>
      </w:r>
    </w:p>
    <w:p w14:paraId="5F1B2909" w14:textId="3002278C" w:rsidR="00A2206B" w:rsidRPr="00AD6B57" w:rsidRDefault="00A2206B" w:rsidP="00977DC9">
      <w:pPr>
        <w:spacing w:line="360" w:lineRule="auto"/>
        <w:jc w:val="both"/>
        <w:rPr>
          <w:rFonts w:ascii="gobCL" w:hAnsi="gobCL"/>
          <w:szCs w:val="22"/>
          <w:lang w:val="es-ES"/>
        </w:rPr>
      </w:pPr>
    </w:p>
    <w:p w14:paraId="5DB3E133" w14:textId="3E2E0F49" w:rsidR="00A2206B" w:rsidRPr="00AD6B57" w:rsidRDefault="00C200AD" w:rsidP="00977DC9">
      <w:pPr>
        <w:spacing w:line="360" w:lineRule="auto"/>
        <w:jc w:val="both"/>
        <w:rPr>
          <w:rFonts w:ascii="gobCL" w:hAnsi="gobCL"/>
          <w:szCs w:val="22"/>
          <w:lang w:val="es-ES"/>
        </w:rPr>
      </w:pPr>
      <w:r w:rsidRPr="00AD6B57">
        <w:rPr>
          <w:rFonts w:ascii="gobCL" w:hAnsi="gobCL"/>
          <w:szCs w:val="22"/>
          <w:lang w:val="es-ES"/>
        </w:rPr>
        <w:t>De la cual se desglosa que este Servicio debe informar trimestralmente:</w:t>
      </w:r>
    </w:p>
    <w:p w14:paraId="0FD839E1" w14:textId="5E58BF3D" w:rsidR="00C200AD" w:rsidRPr="00AD6B57" w:rsidRDefault="00C200AD" w:rsidP="00977DC9">
      <w:pPr>
        <w:pStyle w:val="Prrafodelista"/>
        <w:numPr>
          <w:ilvl w:val="0"/>
          <w:numId w:val="3"/>
        </w:numPr>
        <w:spacing w:line="360" w:lineRule="auto"/>
        <w:jc w:val="both"/>
        <w:rPr>
          <w:rFonts w:ascii="gobCL" w:hAnsi="gobCL"/>
          <w:lang w:val="es-ES"/>
        </w:rPr>
      </w:pPr>
      <w:r w:rsidRPr="00AD6B57">
        <w:rPr>
          <w:rFonts w:ascii="gobCL" w:hAnsi="gobCL"/>
          <w:lang w:val="es-ES"/>
        </w:rPr>
        <w:t>Roturas de matriz ocurridas en al país.</w:t>
      </w:r>
    </w:p>
    <w:p w14:paraId="0DAD6A12" w14:textId="0BB13410" w:rsidR="00C200AD" w:rsidRPr="00AD6B57" w:rsidRDefault="00C200AD" w:rsidP="00977DC9">
      <w:pPr>
        <w:pStyle w:val="Prrafodelista"/>
        <w:numPr>
          <w:ilvl w:val="0"/>
          <w:numId w:val="3"/>
        </w:numPr>
        <w:spacing w:line="360" w:lineRule="auto"/>
        <w:jc w:val="both"/>
        <w:rPr>
          <w:rFonts w:ascii="gobCL" w:hAnsi="gobCL"/>
          <w:lang w:val="es-ES"/>
        </w:rPr>
      </w:pPr>
      <w:r w:rsidRPr="00AD6B57">
        <w:rPr>
          <w:rFonts w:ascii="gobCL" w:hAnsi="gobCL"/>
          <w:lang w:val="es-ES"/>
        </w:rPr>
        <w:t>Duración de las roturas de matriz</w:t>
      </w:r>
      <w:r w:rsidR="00AD6B57">
        <w:rPr>
          <w:rFonts w:ascii="gobCL" w:hAnsi="gobCL"/>
          <w:lang w:val="es-ES"/>
        </w:rPr>
        <w:t>.</w:t>
      </w:r>
    </w:p>
    <w:p w14:paraId="48401566" w14:textId="28270CCD" w:rsidR="00C200AD" w:rsidRPr="00AD6B57" w:rsidRDefault="00C200AD" w:rsidP="00977DC9">
      <w:pPr>
        <w:pStyle w:val="Prrafodelista"/>
        <w:numPr>
          <w:ilvl w:val="0"/>
          <w:numId w:val="3"/>
        </w:numPr>
        <w:spacing w:line="360" w:lineRule="auto"/>
        <w:jc w:val="both"/>
        <w:rPr>
          <w:rFonts w:ascii="gobCL" w:hAnsi="gobCL"/>
          <w:lang w:val="es-ES"/>
        </w:rPr>
      </w:pPr>
      <w:r w:rsidRPr="00AD6B57">
        <w:rPr>
          <w:rFonts w:ascii="gobCL" w:hAnsi="gobCL"/>
          <w:lang w:val="es-ES"/>
        </w:rPr>
        <w:t>Aproximado de la cantidad de agua desperdiciada producto de las roturas</w:t>
      </w:r>
      <w:r w:rsidR="00AD6B57">
        <w:rPr>
          <w:rFonts w:ascii="gobCL" w:hAnsi="gobCL"/>
          <w:lang w:val="es-ES"/>
        </w:rPr>
        <w:t>.</w:t>
      </w:r>
    </w:p>
    <w:p w14:paraId="3F8A1DEB" w14:textId="7D22D6C8" w:rsidR="00A2206B" w:rsidRPr="00AD6B57" w:rsidRDefault="00C200AD" w:rsidP="00977DC9">
      <w:pPr>
        <w:pStyle w:val="Prrafodelista"/>
        <w:numPr>
          <w:ilvl w:val="0"/>
          <w:numId w:val="3"/>
        </w:numPr>
        <w:spacing w:line="360" w:lineRule="auto"/>
        <w:jc w:val="both"/>
        <w:rPr>
          <w:rFonts w:ascii="gobCL" w:hAnsi="gobCL"/>
          <w:lang w:val="es-ES"/>
        </w:rPr>
      </w:pPr>
      <w:r w:rsidRPr="00AD6B57">
        <w:rPr>
          <w:rFonts w:ascii="gobCL" w:hAnsi="gobCL"/>
          <w:lang w:val="es-ES"/>
        </w:rPr>
        <w:t>Medidas dispuestas por las empresas sanitarias para solucionar las roturas de matriz</w:t>
      </w:r>
      <w:r w:rsidR="00AD6B57">
        <w:rPr>
          <w:rFonts w:ascii="gobCL" w:hAnsi="gobCL"/>
          <w:lang w:val="es-ES"/>
        </w:rPr>
        <w:t>.</w:t>
      </w:r>
    </w:p>
    <w:p w14:paraId="3E5723CE" w14:textId="3C96AD58" w:rsidR="00C200AD" w:rsidRPr="00AD6B57" w:rsidRDefault="00C200AD" w:rsidP="00977DC9">
      <w:pPr>
        <w:pStyle w:val="Prrafodelista"/>
        <w:numPr>
          <w:ilvl w:val="0"/>
          <w:numId w:val="3"/>
        </w:numPr>
        <w:spacing w:line="360" w:lineRule="auto"/>
        <w:jc w:val="both"/>
        <w:rPr>
          <w:rFonts w:ascii="gobCL" w:hAnsi="gobCL"/>
          <w:lang w:val="es-ES"/>
        </w:rPr>
      </w:pPr>
      <w:r w:rsidRPr="00AD6B57">
        <w:rPr>
          <w:rFonts w:ascii="gobCL" w:hAnsi="gobCL"/>
          <w:lang w:val="es-ES"/>
        </w:rPr>
        <w:t>Planes de contingencia de las empresas</w:t>
      </w:r>
      <w:r w:rsidR="00AD6B57">
        <w:rPr>
          <w:rFonts w:ascii="gobCL" w:hAnsi="gobCL"/>
          <w:lang w:val="es-ES"/>
        </w:rPr>
        <w:t>.</w:t>
      </w:r>
    </w:p>
    <w:p w14:paraId="2583E632" w14:textId="5AAD042F" w:rsidR="00C200AD" w:rsidRPr="00AD6B57" w:rsidRDefault="00C200AD" w:rsidP="00977DC9">
      <w:pPr>
        <w:pStyle w:val="Prrafodelista"/>
        <w:numPr>
          <w:ilvl w:val="0"/>
          <w:numId w:val="3"/>
        </w:numPr>
        <w:spacing w:line="360" w:lineRule="auto"/>
        <w:jc w:val="both"/>
        <w:rPr>
          <w:rFonts w:ascii="gobCL" w:hAnsi="gobCL"/>
          <w:lang w:val="es-ES"/>
        </w:rPr>
      </w:pPr>
      <w:r w:rsidRPr="00AD6B57">
        <w:rPr>
          <w:rFonts w:ascii="gobCL" w:hAnsi="gobCL"/>
          <w:lang w:val="es-ES"/>
        </w:rPr>
        <w:t>Fiscalizaciones realizadas por este Servicio</w:t>
      </w:r>
      <w:r w:rsidR="00AD6B57">
        <w:rPr>
          <w:rFonts w:ascii="gobCL" w:hAnsi="gobCL"/>
          <w:lang w:val="es-ES"/>
        </w:rPr>
        <w:t>.</w:t>
      </w:r>
    </w:p>
    <w:p w14:paraId="2A863CBB" w14:textId="2872E44C" w:rsidR="00C200AD" w:rsidRPr="00AD6B57" w:rsidRDefault="00C200AD" w:rsidP="00977DC9">
      <w:pPr>
        <w:pStyle w:val="Prrafodelista"/>
        <w:numPr>
          <w:ilvl w:val="0"/>
          <w:numId w:val="3"/>
        </w:numPr>
        <w:spacing w:line="360" w:lineRule="auto"/>
        <w:jc w:val="both"/>
        <w:rPr>
          <w:rFonts w:ascii="gobCL" w:hAnsi="gobCL"/>
          <w:lang w:val="es-ES"/>
        </w:rPr>
      </w:pPr>
      <w:r w:rsidRPr="00AD6B57">
        <w:rPr>
          <w:rFonts w:ascii="gobCL" w:hAnsi="gobCL"/>
          <w:lang w:val="es-ES"/>
        </w:rPr>
        <w:t>Sanciones aplicadas por este servicio debido a roturas de matriz</w:t>
      </w:r>
      <w:r w:rsidR="00AD6B57">
        <w:rPr>
          <w:rFonts w:ascii="gobCL" w:hAnsi="gobCL"/>
          <w:lang w:val="es-ES"/>
        </w:rPr>
        <w:t>.</w:t>
      </w:r>
    </w:p>
    <w:p w14:paraId="1A52ADA8" w14:textId="70DCC2CC" w:rsidR="00A2206B" w:rsidRPr="00AD6B57" w:rsidRDefault="00A2206B" w:rsidP="00977DC9">
      <w:pPr>
        <w:spacing w:line="360" w:lineRule="auto"/>
        <w:jc w:val="both"/>
        <w:rPr>
          <w:rFonts w:ascii="gobCL" w:hAnsi="gobCL"/>
          <w:szCs w:val="22"/>
          <w:lang w:val="es-ES"/>
        </w:rPr>
      </w:pPr>
    </w:p>
    <w:p w14:paraId="6029F1DC" w14:textId="1F366B7B" w:rsidR="00A2206B" w:rsidRPr="00AD6B57" w:rsidRDefault="00C200AD" w:rsidP="00977DC9">
      <w:pPr>
        <w:spacing w:line="360" w:lineRule="auto"/>
        <w:jc w:val="both"/>
        <w:rPr>
          <w:rFonts w:ascii="gobCL" w:hAnsi="gobCL"/>
          <w:szCs w:val="22"/>
          <w:lang w:val="es-ES"/>
        </w:rPr>
      </w:pPr>
      <w:r w:rsidRPr="00AD6B57">
        <w:rPr>
          <w:rFonts w:ascii="gobCL" w:hAnsi="gobCL"/>
          <w:szCs w:val="22"/>
          <w:lang w:val="es-ES"/>
        </w:rPr>
        <w:lastRenderedPageBreak/>
        <w:t xml:space="preserve">A continuación, se detalla la información que este Servicio </w:t>
      </w:r>
      <w:r w:rsidR="00DB3441">
        <w:rPr>
          <w:rFonts w:ascii="gobCL" w:hAnsi="gobCL"/>
          <w:szCs w:val="22"/>
          <w:lang w:val="es-ES"/>
        </w:rPr>
        <w:t xml:space="preserve">tiene disponible, </w:t>
      </w:r>
      <w:r w:rsidRPr="00AD6B57">
        <w:rPr>
          <w:rFonts w:ascii="gobCL" w:hAnsi="gobCL"/>
          <w:szCs w:val="22"/>
          <w:lang w:val="es-ES"/>
        </w:rPr>
        <w:t>dados lo</w:t>
      </w:r>
      <w:r w:rsidR="00DB3441">
        <w:rPr>
          <w:rFonts w:ascii="gobCL" w:hAnsi="gobCL"/>
          <w:szCs w:val="22"/>
          <w:lang w:val="es-ES"/>
        </w:rPr>
        <w:t>s</w:t>
      </w:r>
      <w:r w:rsidRPr="00AD6B57">
        <w:rPr>
          <w:rFonts w:ascii="gobCL" w:hAnsi="gobCL"/>
          <w:szCs w:val="22"/>
          <w:lang w:val="es-ES"/>
        </w:rPr>
        <w:t xml:space="preserve"> protocolos de información que mantienen con las empresas prestadoras del servicio.</w:t>
      </w:r>
    </w:p>
    <w:p w14:paraId="158ABEA5" w14:textId="6E288F12" w:rsidR="00C2338C" w:rsidRPr="00AD6B57" w:rsidRDefault="00FF5953" w:rsidP="00977DC9">
      <w:pPr>
        <w:tabs>
          <w:tab w:val="left" w:pos="1134"/>
        </w:tabs>
        <w:spacing w:line="360" w:lineRule="auto"/>
        <w:jc w:val="both"/>
        <w:rPr>
          <w:rFonts w:ascii="gobCL" w:hAnsi="gobCL"/>
          <w:szCs w:val="22"/>
          <w:lang w:val="es-ES"/>
        </w:rPr>
      </w:pPr>
      <w:r w:rsidRPr="00AD6B57">
        <w:rPr>
          <w:rFonts w:ascii="gobCL" w:hAnsi="gobCL"/>
          <w:noProof/>
          <w:sz w:val="20"/>
          <w:szCs w:val="20"/>
          <w:lang w:val="es-ES"/>
        </w:rPr>
        <mc:AlternateContent>
          <mc:Choice Requires="wps">
            <w:drawing>
              <wp:anchor distT="0" distB="0" distL="114300" distR="114300" simplePos="0" relativeHeight="251660288" behindDoc="0" locked="0" layoutInCell="1" allowOverlap="1" wp14:anchorId="4D988A41" wp14:editId="72E4D589">
                <wp:simplePos x="0" y="0"/>
                <wp:positionH relativeFrom="column">
                  <wp:posOffset>-32385</wp:posOffset>
                </wp:positionH>
                <wp:positionV relativeFrom="paragraph">
                  <wp:posOffset>229235</wp:posOffset>
                </wp:positionV>
                <wp:extent cx="5717044" cy="257175"/>
                <wp:effectExtent l="0" t="0" r="0" b="9525"/>
                <wp:wrapNone/>
                <wp:docPr id="11" name="Cuadro de texto 11"/>
                <wp:cNvGraphicFramePr/>
                <a:graphic xmlns:a="http://schemas.openxmlformats.org/drawingml/2006/main">
                  <a:graphicData uri="http://schemas.microsoft.com/office/word/2010/wordprocessingShape">
                    <wps:wsp>
                      <wps:cNvSpPr txBox="1"/>
                      <wps:spPr>
                        <a:xfrm>
                          <a:off x="0" y="0"/>
                          <a:ext cx="5717044" cy="257175"/>
                        </a:xfrm>
                        <a:prstGeom prst="rect">
                          <a:avLst/>
                        </a:prstGeom>
                        <a:solidFill>
                          <a:srgbClr val="008BD4">
                            <a:alpha val="20107"/>
                          </a:srgbClr>
                        </a:solidFill>
                        <a:ln w="6350">
                          <a:noFill/>
                        </a:ln>
                      </wps:spPr>
                      <wps:txbx>
                        <w:txbxContent>
                          <w:p w14:paraId="2F3D4221" w14:textId="774A0A9B" w:rsidR="00C2338C" w:rsidRPr="001B365E" w:rsidRDefault="00C200AD">
                            <w:pPr>
                              <w:rPr>
                                <w:rFonts w:ascii="gobCL" w:hAnsi="gobCL"/>
                                <w:color w:val="008BD4"/>
                              </w:rPr>
                            </w:pPr>
                            <w:r w:rsidRPr="00C200AD">
                              <w:rPr>
                                <w:rFonts w:ascii="gobCL" w:hAnsi="gobCL"/>
                                <w:color w:val="008BD4"/>
                              </w:rPr>
                              <w:t>1.</w:t>
                            </w:r>
                            <w:r w:rsidRPr="00C200AD">
                              <w:rPr>
                                <w:rFonts w:ascii="gobCL" w:hAnsi="gobCL"/>
                                <w:color w:val="008BD4"/>
                              </w:rPr>
                              <w:tab/>
                              <w:t>Roturas de matriz ocurridas en al 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88A41" id="Cuadro de texto 11" o:spid="_x0000_s1027" type="#_x0000_t202" style="position:absolute;left:0;text-align:left;margin-left:-2.55pt;margin-top:18.05pt;width:450.1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" fillcolor="#008bd4" stroked="f" strokeweight=".5pt">
                <v:fill opacity="13107f"/>
                <v:textbox>
                  <w:txbxContent>
                    <w:p w14:paraId="2F3D4221" w14:textId="774A0A9B" w:rsidR="00C2338C" w:rsidRPr="001B365E" w:rsidRDefault="00C200AD">
                      <w:pPr>
                        <w:rPr>
                          <w:rFonts w:ascii="gobCL" w:hAnsi="gobCL"/>
                          <w:color w:val="008BD4"/>
                        </w:rPr>
                      </w:pPr>
                      <w:r w:rsidRPr="00C200AD">
                        <w:rPr>
                          <w:rFonts w:ascii="gobCL" w:hAnsi="gobCL"/>
                          <w:color w:val="008BD4"/>
                        </w:rPr>
                        <w:t>1.</w:t>
                      </w:r>
                      <w:r w:rsidRPr="00C200AD">
                        <w:rPr>
                          <w:rFonts w:ascii="gobCL" w:hAnsi="gobCL"/>
                          <w:color w:val="008BD4"/>
                        </w:rPr>
                        <w:tab/>
                        <w:t>Roturas de matriz ocurridas en al país.</w:t>
                      </w:r>
                    </w:p>
                  </w:txbxContent>
                </v:textbox>
              </v:shape>
            </w:pict>
          </mc:Fallback>
        </mc:AlternateContent>
      </w:r>
    </w:p>
    <w:p w14:paraId="35AB8E58" w14:textId="08115E01" w:rsidR="00F228CA" w:rsidRPr="00AD6B57" w:rsidRDefault="00F228CA" w:rsidP="00977DC9">
      <w:pPr>
        <w:tabs>
          <w:tab w:val="left" w:pos="1134"/>
        </w:tabs>
        <w:spacing w:line="360" w:lineRule="auto"/>
        <w:jc w:val="both"/>
        <w:rPr>
          <w:rFonts w:ascii="gobCL" w:hAnsi="gobCL"/>
          <w:szCs w:val="22"/>
          <w:lang w:val="es-ES"/>
        </w:rPr>
      </w:pPr>
    </w:p>
    <w:p w14:paraId="6A91ED45" w14:textId="77777777" w:rsidR="00BA1938" w:rsidRDefault="00AD6B57" w:rsidP="00977DC9">
      <w:pPr>
        <w:tabs>
          <w:tab w:val="left" w:pos="1134"/>
        </w:tabs>
        <w:spacing w:line="360" w:lineRule="auto"/>
        <w:jc w:val="both"/>
        <w:rPr>
          <w:rFonts w:ascii="gobCL" w:hAnsi="gobCL"/>
          <w:szCs w:val="22"/>
          <w:lang w:val="es-ES"/>
        </w:rPr>
      </w:pPr>
      <w:r>
        <w:rPr>
          <w:rFonts w:ascii="gobCL" w:hAnsi="gobCL"/>
          <w:szCs w:val="22"/>
          <w:lang w:val="es-ES"/>
        </w:rPr>
        <w:t xml:space="preserve">Las concesionarias de </w:t>
      </w:r>
      <w:r w:rsidR="00977DC9">
        <w:rPr>
          <w:rFonts w:ascii="gobCL" w:hAnsi="gobCL"/>
          <w:szCs w:val="22"/>
          <w:lang w:val="es-ES"/>
        </w:rPr>
        <w:t>servicios</w:t>
      </w:r>
      <w:r>
        <w:rPr>
          <w:rFonts w:ascii="gobCL" w:hAnsi="gobCL"/>
          <w:szCs w:val="22"/>
          <w:lang w:val="es-ES"/>
        </w:rPr>
        <w:t xml:space="preserve"> sanitarios con </w:t>
      </w:r>
      <w:r w:rsidR="00977DC9">
        <w:rPr>
          <w:rFonts w:ascii="gobCL" w:hAnsi="gobCL"/>
          <w:szCs w:val="22"/>
          <w:lang w:val="es-ES"/>
        </w:rPr>
        <w:t>más</w:t>
      </w:r>
      <w:r>
        <w:rPr>
          <w:rFonts w:ascii="gobCL" w:hAnsi="gobCL"/>
          <w:szCs w:val="22"/>
          <w:lang w:val="es-ES"/>
        </w:rPr>
        <w:t xml:space="preserve"> de 3000 clientes están mandatadas a </w:t>
      </w:r>
      <w:r w:rsidR="00977DC9">
        <w:rPr>
          <w:rFonts w:ascii="gobCL" w:hAnsi="gobCL"/>
          <w:szCs w:val="22"/>
          <w:lang w:val="es-ES"/>
        </w:rPr>
        <w:t xml:space="preserve">informar a esta </w:t>
      </w:r>
      <w:r>
        <w:rPr>
          <w:rFonts w:ascii="gobCL" w:hAnsi="gobCL"/>
          <w:szCs w:val="22"/>
          <w:lang w:val="es-ES"/>
        </w:rPr>
        <w:t>Superintendencia</w:t>
      </w:r>
      <w:r w:rsidR="00977DC9">
        <w:rPr>
          <w:rFonts w:ascii="gobCL" w:hAnsi="gobCL"/>
          <w:szCs w:val="22"/>
          <w:lang w:val="es-ES"/>
        </w:rPr>
        <w:t xml:space="preserve"> todas las discontinuidades de servicio</w:t>
      </w:r>
      <w:r w:rsidR="00BA1938">
        <w:rPr>
          <w:rFonts w:ascii="gobCL" w:hAnsi="gobCL"/>
          <w:szCs w:val="22"/>
          <w:lang w:val="es-ES"/>
        </w:rPr>
        <w:t>, puesto que este servicio tiene enfocada su labor en la continuidad en la prestación del servicio y las discontinuidades de estos no solo radicas en problemas generados por el daño en las matrices de distribución.</w:t>
      </w:r>
    </w:p>
    <w:p w14:paraId="21B7EA5B" w14:textId="77777777" w:rsidR="00BA1938" w:rsidRDefault="00BA1938" w:rsidP="00977DC9">
      <w:pPr>
        <w:tabs>
          <w:tab w:val="left" w:pos="1134"/>
        </w:tabs>
        <w:spacing w:line="360" w:lineRule="auto"/>
        <w:jc w:val="both"/>
        <w:rPr>
          <w:rFonts w:ascii="gobCL" w:hAnsi="gobCL"/>
          <w:szCs w:val="22"/>
          <w:lang w:val="es-ES"/>
        </w:rPr>
      </w:pPr>
    </w:p>
    <w:p w14:paraId="0B29E049" w14:textId="0419D531" w:rsidR="00F228CA" w:rsidRDefault="00BA1938" w:rsidP="00977DC9">
      <w:pPr>
        <w:tabs>
          <w:tab w:val="left" w:pos="1134"/>
        </w:tabs>
        <w:spacing w:line="360" w:lineRule="auto"/>
        <w:jc w:val="both"/>
        <w:rPr>
          <w:rFonts w:ascii="gobCL" w:hAnsi="gobCL"/>
          <w:szCs w:val="22"/>
          <w:lang w:val="es-ES"/>
        </w:rPr>
      </w:pPr>
      <w:r>
        <w:rPr>
          <w:rFonts w:ascii="gobCL" w:hAnsi="gobCL"/>
          <w:szCs w:val="22"/>
          <w:lang w:val="es-ES"/>
        </w:rPr>
        <w:t>Los</w:t>
      </w:r>
      <w:r w:rsidR="00977DC9">
        <w:rPr>
          <w:rFonts w:ascii="gobCL" w:hAnsi="gobCL"/>
          <w:szCs w:val="22"/>
          <w:lang w:val="es-ES"/>
        </w:rPr>
        <w:t xml:space="preserve"> antecedentes se reportan en el protocolo de información PR013 “</w:t>
      </w:r>
      <w:r w:rsidR="0062615E">
        <w:rPr>
          <w:rFonts w:ascii="gobCL" w:hAnsi="gobCL"/>
          <w:szCs w:val="22"/>
          <w:lang w:val="es-ES"/>
        </w:rPr>
        <w:t>I</w:t>
      </w:r>
      <w:r w:rsidR="00977DC9">
        <w:rPr>
          <w:rFonts w:ascii="gobCL" w:hAnsi="gobCL"/>
          <w:szCs w:val="22"/>
          <w:lang w:val="es-ES"/>
        </w:rPr>
        <w:t>ndicadores de calidad del servicio”</w:t>
      </w:r>
      <w:r w:rsidR="0062615E">
        <w:rPr>
          <w:rFonts w:ascii="gobCL" w:hAnsi="gobCL"/>
          <w:szCs w:val="22"/>
          <w:lang w:val="es-ES"/>
        </w:rPr>
        <w:t>, e</w:t>
      </w:r>
      <w:r w:rsidR="00977DC9">
        <w:rPr>
          <w:rFonts w:ascii="gobCL" w:hAnsi="gobCL"/>
          <w:szCs w:val="22"/>
          <w:lang w:val="es-ES"/>
        </w:rPr>
        <w:t>n el cual, con fecha máxima el día 20 de cada mes</w:t>
      </w:r>
      <w:r>
        <w:rPr>
          <w:rFonts w:ascii="gobCL" w:hAnsi="gobCL"/>
          <w:szCs w:val="22"/>
          <w:lang w:val="es-ES"/>
        </w:rPr>
        <w:t xml:space="preserve">, </w:t>
      </w:r>
      <w:r w:rsidR="0062615E">
        <w:rPr>
          <w:rFonts w:ascii="gobCL" w:hAnsi="gobCL"/>
          <w:szCs w:val="22"/>
          <w:lang w:val="es-ES"/>
        </w:rPr>
        <w:t xml:space="preserve">las empresas envían la información de las discontinuidades de servicio </w:t>
      </w:r>
      <w:r w:rsidR="00977DC9">
        <w:rPr>
          <w:rFonts w:ascii="gobCL" w:hAnsi="gobCL"/>
          <w:szCs w:val="22"/>
          <w:lang w:val="es-ES"/>
        </w:rPr>
        <w:t>ocurrid</w:t>
      </w:r>
      <w:r w:rsidR="0062615E">
        <w:rPr>
          <w:rFonts w:ascii="gobCL" w:hAnsi="gobCL"/>
          <w:szCs w:val="22"/>
          <w:lang w:val="es-ES"/>
        </w:rPr>
        <w:t>a</w:t>
      </w:r>
      <w:r w:rsidR="00977DC9">
        <w:rPr>
          <w:rFonts w:ascii="gobCL" w:hAnsi="gobCL"/>
          <w:szCs w:val="22"/>
          <w:lang w:val="es-ES"/>
        </w:rPr>
        <w:t>s el mes anterior</w:t>
      </w:r>
      <w:r>
        <w:rPr>
          <w:rFonts w:ascii="gobCL" w:hAnsi="gobCL"/>
          <w:szCs w:val="22"/>
          <w:lang w:val="es-ES"/>
        </w:rPr>
        <w:t>.</w:t>
      </w:r>
    </w:p>
    <w:p w14:paraId="7FAA4637" w14:textId="4254B6E6" w:rsidR="00977DC9" w:rsidRDefault="00977DC9" w:rsidP="00977DC9">
      <w:pPr>
        <w:tabs>
          <w:tab w:val="left" w:pos="1134"/>
        </w:tabs>
        <w:spacing w:line="360" w:lineRule="auto"/>
        <w:jc w:val="both"/>
        <w:rPr>
          <w:rFonts w:ascii="gobCL" w:hAnsi="gobCL"/>
          <w:szCs w:val="22"/>
          <w:lang w:val="es-ES"/>
        </w:rPr>
      </w:pPr>
    </w:p>
    <w:p w14:paraId="309270E0" w14:textId="5DE5809E" w:rsidR="008F05BF" w:rsidRDefault="00977DC9" w:rsidP="00B83FAB">
      <w:pPr>
        <w:tabs>
          <w:tab w:val="left" w:pos="1134"/>
        </w:tabs>
        <w:spacing w:line="360" w:lineRule="auto"/>
        <w:jc w:val="both"/>
        <w:rPr>
          <w:rFonts w:ascii="gobCL" w:hAnsi="gobCL"/>
          <w:szCs w:val="22"/>
          <w:lang w:val="es-ES"/>
        </w:rPr>
      </w:pPr>
      <w:r>
        <w:rPr>
          <w:rFonts w:ascii="gobCL" w:hAnsi="gobCL"/>
          <w:szCs w:val="22"/>
          <w:lang w:val="es-ES"/>
        </w:rPr>
        <w:t xml:space="preserve">Si bien esta reportabilidad de la información no está pensada en informar </w:t>
      </w:r>
      <w:r w:rsidR="0062615E">
        <w:rPr>
          <w:rFonts w:ascii="gobCL" w:hAnsi="gobCL"/>
          <w:szCs w:val="22"/>
          <w:lang w:val="es-ES"/>
        </w:rPr>
        <w:t xml:space="preserve">directamente </w:t>
      </w:r>
      <w:r>
        <w:rPr>
          <w:rFonts w:ascii="gobCL" w:hAnsi="gobCL"/>
          <w:szCs w:val="22"/>
          <w:lang w:val="es-ES"/>
        </w:rPr>
        <w:t>cada rotura</w:t>
      </w:r>
      <w:r w:rsidR="0062615E">
        <w:rPr>
          <w:rFonts w:ascii="gobCL" w:hAnsi="gobCL"/>
          <w:szCs w:val="22"/>
          <w:lang w:val="es-ES"/>
        </w:rPr>
        <w:t xml:space="preserve"> que se genera </w:t>
      </w:r>
      <w:r>
        <w:rPr>
          <w:rFonts w:ascii="gobCL" w:hAnsi="gobCL"/>
          <w:szCs w:val="22"/>
          <w:lang w:val="es-ES"/>
        </w:rPr>
        <w:t>en el país. S</w:t>
      </w:r>
      <w:r w:rsidR="0062615E">
        <w:rPr>
          <w:rFonts w:ascii="gobCL" w:hAnsi="gobCL"/>
          <w:szCs w:val="22"/>
          <w:lang w:val="es-ES"/>
        </w:rPr>
        <w:t>i</w:t>
      </w:r>
      <w:r>
        <w:rPr>
          <w:rFonts w:ascii="gobCL" w:hAnsi="gobCL"/>
          <w:szCs w:val="22"/>
          <w:lang w:val="es-ES"/>
        </w:rPr>
        <w:t xml:space="preserve"> nos permite de</w:t>
      </w:r>
      <w:r w:rsidR="0062615E">
        <w:rPr>
          <w:rFonts w:ascii="gobCL" w:hAnsi="gobCL"/>
          <w:szCs w:val="22"/>
          <w:lang w:val="es-ES"/>
        </w:rPr>
        <w:t xml:space="preserve">ducir las </w:t>
      </w:r>
      <w:r>
        <w:rPr>
          <w:rFonts w:ascii="gobCL" w:hAnsi="gobCL"/>
          <w:szCs w:val="22"/>
          <w:lang w:val="es-ES"/>
        </w:rPr>
        <w:t>fallas</w:t>
      </w:r>
      <w:r w:rsidR="0062615E">
        <w:rPr>
          <w:rFonts w:ascii="gobCL" w:hAnsi="gobCL"/>
          <w:szCs w:val="22"/>
          <w:lang w:val="es-ES"/>
        </w:rPr>
        <w:t xml:space="preserve"> en las matrices, </w:t>
      </w:r>
      <w:r w:rsidR="00B83FAB">
        <w:rPr>
          <w:rFonts w:ascii="gobCL" w:hAnsi="gobCL"/>
          <w:szCs w:val="22"/>
          <w:lang w:val="es-ES"/>
        </w:rPr>
        <w:t>que es lo que se informar</w:t>
      </w:r>
      <w:r w:rsidR="0062615E">
        <w:rPr>
          <w:rFonts w:ascii="gobCL" w:hAnsi="gobCL"/>
          <w:szCs w:val="22"/>
          <w:lang w:val="es-ES"/>
        </w:rPr>
        <w:t>á</w:t>
      </w:r>
      <w:r w:rsidR="00B83FAB">
        <w:rPr>
          <w:rFonts w:ascii="gobCL" w:hAnsi="gobCL"/>
          <w:szCs w:val="22"/>
          <w:lang w:val="es-ES"/>
        </w:rPr>
        <w:t xml:space="preserve"> </w:t>
      </w:r>
      <w:r w:rsidR="00BA1938">
        <w:rPr>
          <w:rFonts w:ascii="gobCL" w:hAnsi="gobCL"/>
          <w:szCs w:val="22"/>
          <w:lang w:val="es-ES"/>
        </w:rPr>
        <w:t>para dar respuesta al requerimiento</w:t>
      </w:r>
      <w:r w:rsidR="0062615E">
        <w:rPr>
          <w:rFonts w:ascii="gobCL" w:hAnsi="gobCL"/>
          <w:szCs w:val="22"/>
          <w:lang w:val="es-ES"/>
        </w:rPr>
        <w:t xml:space="preserve">. Por otra parte, </w:t>
      </w:r>
      <w:r w:rsidR="00BA1938">
        <w:rPr>
          <w:rFonts w:ascii="gobCL" w:hAnsi="gobCL"/>
          <w:szCs w:val="22"/>
          <w:lang w:val="es-ES"/>
        </w:rPr>
        <w:t xml:space="preserve">respecto a la temporalidad de la información, esta será </w:t>
      </w:r>
      <w:r w:rsidR="00602E25">
        <w:rPr>
          <w:rFonts w:ascii="gobCL" w:hAnsi="gobCL"/>
          <w:szCs w:val="22"/>
          <w:lang w:val="es-ES"/>
        </w:rPr>
        <w:t xml:space="preserve">desfasada </w:t>
      </w:r>
      <w:r w:rsidR="00BA1938">
        <w:rPr>
          <w:rFonts w:ascii="gobCL" w:hAnsi="gobCL"/>
          <w:szCs w:val="22"/>
          <w:lang w:val="es-ES"/>
        </w:rPr>
        <w:t>d</w:t>
      </w:r>
      <w:r w:rsidR="00602E25">
        <w:rPr>
          <w:rFonts w:ascii="gobCL" w:hAnsi="gobCL"/>
          <w:szCs w:val="22"/>
          <w:lang w:val="es-ES"/>
        </w:rPr>
        <w:t>el trimestre anterior</w:t>
      </w:r>
      <w:r w:rsidR="00B83FAB">
        <w:rPr>
          <w:rFonts w:ascii="gobCL" w:hAnsi="gobCL"/>
          <w:szCs w:val="22"/>
          <w:lang w:val="es-ES"/>
        </w:rPr>
        <w:t xml:space="preserve">, puesto que la información llega </w:t>
      </w:r>
      <w:r w:rsidR="00602E25">
        <w:rPr>
          <w:rFonts w:ascii="gobCL" w:hAnsi="gobCL"/>
          <w:szCs w:val="22"/>
          <w:lang w:val="es-ES"/>
        </w:rPr>
        <w:t xml:space="preserve">a esta Superintendencia </w:t>
      </w:r>
      <w:r w:rsidR="00B83FAB">
        <w:rPr>
          <w:rFonts w:ascii="gobCL" w:hAnsi="gobCL"/>
          <w:szCs w:val="22"/>
          <w:lang w:val="es-ES"/>
        </w:rPr>
        <w:t xml:space="preserve">el día 20 del mes siguiente y debe ser revisada </w:t>
      </w:r>
      <w:r w:rsidR="00602E25">
        <w:rPr>
          <w:rFonts w:ascii="gobCL" w:hAnsi="gobCL"/>
          <w:szCs w:val="22"/>
          <w:lang w:val="es-ES"/>
        </w:rPr>
        <w:t xml:space="preserve">procesada por </w:t>
      </w:r>
      <w:r w:rsidR="0062615E">
        <w:rPr>
          <w:rFonts w:ascii="gobCL" w:hAnsi="gobCL"/>
          <w:szCs w:val="22"/>
          <w:lang w:val="es-ES"/>
        </w:rPr>
        <w:t xml:space="preserve">nuestro </w:t>
      </w:r>
      <w:r w:rsidR="00602E25">
        <w:rPr>
          <w:rFonts w:ascii="gobCL" w:hAnsi="gobCL"/>
          <w:szCs w:val="22"/>
          <w:lang w:val="es-ES"/>
        </w:rPr>
        <w:t>S</w:t>
      </w:r>
      <w:r w:rsidR="0062615E">
        <w:rPr>
          <w:rFonts w:ascii="gobCL" w:hAnsi="gobCL"/>
          <w:szCs w:val="22"/>
          <w:lang w:val="es-ES"/>
        </w:rPr>
        <w:t>ervicio</w:t>
      </w:r>
      <w:r w:rsidR="00B83FAB">
        <w:rPr>
          <w:rFonts w:ascii="gobCL" w:hAnsi="gobCL"/>
          <w:szCs w:val="22"/>
          <w:lang w:val="es-ES"/>
        </w:rPr>
        <w:t>.</w:t>
      </w:r>
    </w:p>
    <w:p w14:paraId="75668B23" w14:textId="6735F686" w:rsidR="00832E48" w:rsidRDefault="009B5E2C" w:rsidP="00B83FAB">
      <w:pPr>
        <w:tabs>
          <w:tab w:val="left" w:pos="1134"/>
        </w:tabs>
        <w:spacing w:line="360" w:lineRule="auto"/>
        <w:jc w:val="both"/>
        <w:rPr>
          <w:rFonts w:ascii="gobCL" w:hAnsi="gobCL"/>
          <w:b/>
          <w:bCs/>
          <w:szCs w:val="22"/>
          <w:lang w:val="es-ES"/>
        </w:rPr>
      </w:pPr>
      <w:r w:rsidRPr="009B5E2C">
        <w:rPr>
          <w:rFonts w:ascii="gobCL" w:hAnsi="gobCL"/>
          <w:b/>
          <w:bCs/>
          <w:szCs w:val="22"/>
          <w:lang w:val="es-ES"/>
        </w:rPr>
        <w:t xml:space="preserve">Se incluye la información de Roturas </w:t>
      </w:r>
      <w:r w:rsidR="00410CAA">
        <w:rPr>
          <w:rFonts w:ascii="gobCL" w:hAnsi="gobCL"/>
          <w:b/>
          <w:bCs/>
          <w:szCs w:val="22"/>
          <w:lang w:val="es-ES"/>
        </w:rPr>
        <w:t xml:space="preserve">ocurridas en el 4to trimestre de 2022, </w:t>
      </w:r>
      <w:r w:rsidRPr="009B5E2C">
        <w:rPr>
          <w:rFonts w:ascii="gobCL" w:hAnsi="gobCL"/>
          <w:b/>
          <w:bCs/>
          <w:szCs w:val="22"/>
          <w:lang w:val="es-ES"/>
        </w:rPr>
        <w:t>en Anexo 1.</w:t>
      </w:r>
    </w:p>
    <w:p w14:paraId="5668157B" w14:textId="77777777" w:rsidR="009B5E2C" w:rsidRPr="009B5E2C" w:rsidRDefault="009B5E2C" w:rsidP="00B83FAB">
      <w:pPr>
        <w:tabs>
          <w:tab w:val="left" w:pos="1134"/>
        </w:tabs>
        <w:spacing w:line="360" w:lineRule="auto"/>
        <w:jc w:val="both"/>
        <w:rPr>
          <w:rFonts w:ascii="gobCL" w:hAnsi="gobCL"/>
          <w:b/>
          <w:bCs/>
          <w:szCs w:val="22"/>
          <w:lang w:val="es-ES"/>
        </w:rPr>
      </w:pPr>
    </w:p>
    <w:p w14:paraId="3A1E9509" w14:textId="10132157" w:rsidR="00832E48" w:rsidRDefault="00832E48" w:rsidP="00B83FAB">
      <w:pPr>
        <w:tabs>
          <w:tab w:val="left" w:pos="1134"/>
        </w:tabs>
        <w:spacing w:line="360" w:lineRule="auto"/>
        <w:jc w:val="both"/>
        <w:rPr>
          <w:rFonts w:ascii="gobCL" w:hAnsi="gobCL"/>
          <w:szCs w:val="22"/>
          <w:lang w:val="es-ES"/>
        </w:rPr>
      </w:pPr>
      <w:r w:rsidRPr="00AD6B57">
        <w:rPr>
          <w:rFonts w:ascii="gobCL" w:hAnsi="gobCL"/>
          <w:noProof/>
          <w:sz w:val="20"/>
          <w:szCs w:val="20"/>
          <w:lang w:val="es-ES"/>
        </w:rPr>
        <mc:AlternateContent>
          <mc:Choice Requires="wps">
            <w:drawing>
              <wp:anchor distT="0" distB="0" distL="114300" distR="114300" simplePos="0" relativeHeight="251664384" behindDoc="0" locked="0" layoutInCell="1" allowOverlap="1" wp14:anchorId="6D1438EB" wp14:editId="48F2C937">
                <wp:simplePos x="0" y="0"/>
                <wp:positionH relativeFrom="margin">
                  <wp:align>left</wp:align>
                </wp:positionH>
                <wp:positionV relativeFrom="paragraph">
                  <wp:posOffset>5963</wp:posOffset>
                </wp:positionV>
                <wp:extent cx="5717044" cy="276225"/>
                <wp:effectExtent l="0" t="0" r="0" b="9525"/>
                <wp:wrapNone/>
                <wp:docPr id="13" name="Cuadro de texto 13"/>
                <wp:cNvGraphicFramePr/>
                <a:graphic xmlns:a="http://schemas.openxmlformats.org/drawingml/2006/main">
                  <a:graphicData uri="http://schemas.microsoft.com/office/word/2010/wordprocessingShape">
                    <wps:wsp>
                      <wps:cNvSpPr txBox="1"/>
                      <wps:spPr>
                        <a:xfrm>
                          <a:off x="0" y="0"/>
                          <a:ext cx="5717044" cy="276225"/>
                        </a:xfrm>
                        <a:prstGeom prst="rect">
                          <a:avLst/>
                        </a:prstGeom>
                        <a:solidFill>
                          <a:srgbClr val="008BD4">
                            <a:alpha val="19606"/>
                          </a:srgbClr>
                        </a:solidFill>
                        <a:ln w="6350">
                          <a:noFill/>
                        </a:ln>
                      </wps:spPr>
                      <wps:txbx>
                        <w:txbxContent>
                          <w:p w14:paraId="39EB8BBE" w14:textId="10D22E35" w:rsidR="00364FB2" w:rsidRPr="00C200AD" w:rsidRDefault="00C200AD" w:rsidP="005316D0">
                            <w:pPr>
                              <w:rPr>
                                <w:rFonts w:ascii="gobCL" w:hAnsi="gobCL"/>
                                <w:color w:val="008BD4"/>
                                <w:lang w:val="es-ES"/>
                              </w:rPr>
                            </w:pPr>
                            <w:r w:rsidRPr="00C200AD">
                              <w:rPr>
                                <w:rFonts w:ascii="gobCL" w:hAnsi="gobCL"/>
                                <w:color w:val="008BD4"/>
                              </w:rPr>
                              <w:t>2.</w:t>
                            </w:r>
                            <w:r w:rsidRPr="00C200AD">
                              <w:rPr>
                                <w:rFonts w:ascii="gobCL" w:hAnsi="gobCL"/>
                                <w:color w:val="008BD4"/>
                              </w:rPr>
                              <w:tab/>
                              <w:t>Duración de las roturas de matriz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438EB" id="Cuadro de texto 13" o:spid="_x0000_s1028" type="#_x0000_t202" style="position:absolute;left:0;text-align:left;margin-left:0;margin-top:.45pt;width:450.15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" fillcolor="#008bd4" stroked="f" strokeweight=".5pt">
                <v:fill opacity="12850f"/>
                <v:textbox>
                  <w:txbxContent>
                    <w:p w14:paraId="39EB8BBE" w14:textId="10D22E35" w:rsidR="00364FB2" w:rsidRPr="00C200AD" w:rsidRDefault="00C200AD" w:rsidP="005316D0">
                      <w:pPr>
                        <w:rPr>
                          <w:rFonts w:ascii="gobCL" w:hAnsi="gobCL"/>
                          <w:color w:val="008BD4"/>
                          <w:lang w:val="es-ES"/>
                        </w:rPr>
                      </w:pPr>
                      <w:r w:rsidRPr="00C200AD">
                        <w:rPr>
                          <w:rFonts w:ascii="gobCL" w:hAnsi="gobCL"/>
                          <w:color w:val="008BD4"/>
                        </w:rPr>
                        <w:t>2.</w:t>
                      </w:r>
                      <w:r w:rsidRPr="00C200AD">
                        <w:rPr>
                          <w:rFonts w:ascii="gobCL" w:hAnsi="gobCL"/>
                          <w:color w:val="008BD4"/>
                        </w:rPr>
                        <w:tab/>
                        <w:t>Duración de las roturas de matriz</w:t>
                      </w:r>
                    </w:p>
                  </w:txbxContent>
                </v:textbox>
                <w10:wrap anchorx="margin"/>
              </v:shape>
            </w:pict>
          </mc:Fallback>
        </mc:AlternateContent>
      </w:r>
    </w:p>
    <w:p w14:paraId="6CD23C34" w14:textId="1A4E273F" w:rsidR="00832E48" w:rsidRPr="00AD6B57" w:rsidRDefault="00832E48" w:rsidP="00B83FAB">
      <w:pPr>
        <w:tabs>
          <w:tab w:val="left" w:pos="1134"/>
        </w:tabs>
        <w:spacing w:line="360" w:lineRule="auto"/>
        <w:jc w:val="both"/>
        <w:rPr>
          <w:rFonts w:ascii="gobCL" w:hAnsi="gobCL"/>
          <w:szCs w:val="22"/>
          <w:lang w:val="es-ES"/>
        </w:rPr>
      </w:pPr>
    </w:p>
    <w:p w14:paraId="7E0AEFAA" w14:textId="1AE01702" w:rsidR="005316D0" w:rsidRDefault="00602E25" w:rsidP="00832E48">
      <w:pPr>
        <w:tabs>
          <w:tab w:val="left" w:pos="1134"/>
        </w:tabs>
        <w:spacing w:line="360" w:lineRule="auto"/>
        <w:jc w:val="both"/>
        <w:rPr>
          <w:rFonts w:ascii="gobCL" w:hAnsi="gobCL"/>
          <w:szCs w:val="22"/>
          <w:lang w:val="es-ES"/>
        </w:rPr>
      </w:pPr>
      <w:r>
        <w:rPr>
          <w:rFonts w:ascii="gobCL" w:hAnsi="gobCL"/>
          <w:szCs w:val="22"/>
          <w:lang w:val="es-ES"/>
        </w:rPr>
        <w:t>Como continuación del punto anterior</w:t>
      </w:r>
      <w:r w:rsidR="00B83FAB" w:rsidRPr="00832E48">
        <w:rPr>
          <w:rFonts w:ascii="gobCL" w:hAnsi="gobCL"/>
          <w:szCs w:val="22"/>
          <w:lang w:val="es-ES"/>
        </w:rPr>
        <w:t xml:space="preserve">, desde el protocolo de </w:t>
      </w:r>
      <w:r w:rsidR="00832E48" w:rsidRPr="00832E48">
        <w:rPr>
          <w:rFonts w:ascii="gobCL" w:hAnsi="gobCL"/>
          <w:szCs w:val="22"/>
          <w:lang w:val="es-ES"/>
        </w:rPr>
        <w:t>información</w:t>
      </w:r>
      <w:r w:rsidR="00B83FAB" w:rsidRPr="00832E48">
        <w:rPr>
          <w:rFonts w:ascii="gobCL" w:hAnsi="gobCL"/>
          <w:szCs w:val="22"/>
          <w:lang w:val="es-ES"/>
        </w:rPr>
        <w:t xml:space="preserve"> </w:t>
      </w:r>
      <w:r>
        <w:rPr>
          <w:rFonts w:ascii="gobCL" w:hAnsi="gobCL"/>
          <w:szCs w:val="22"/>
          <w:lang w:val="es-ES"/>
        </w:rPr>
        <w:t>“I</w:t>
      </w:r>
      <w:r w:rsidR="00B83FAB" w:rsidRPr="00832E48">
        <w:rPr>
          <w:rFonts w:ascii="gobCL" w:hAnsi="gobCL"/>
          <w:szCs w:val="22"/>
          <w:lang w:val="es-ES"/>
        </w:rPr>
        <w:t>ndicadores de calidad del servicio</w:t>
      </w:r>
      <w:r>
        <w:rPr>
          <w:rFonts w:ascii="gobCL" w:hAnsi="gobCL"/>
          <w:szCs w:val="22"/>
          <w:lang w:val="es-ES"/>
        </w:rPr>
        <w:t>”</w:t>
      </w:r>
      <w:r w:rsidR="00B83FAB" w:rsidRPr="00832E48">
        <w:rPr>
          <w:rFonts w:ascii="gobCL" w:hAnsi="gobCL"/>
          <w:szCs w:val="22"/>
          <w:lang w:val="es-ES"/>
        </w:rPr>
        <w:t xml:space="preserve">, en la misma base de datos donde se informa la cantidad de las roturas de matriz las empresas informan la duración de la discontinuidad. La duración que allí reportan es el tiempo </w:t>
      </w:r>
      <w:r>
        <w:rPr>
          <w:rFonts w:ascii="gobCL" w:hAnsi="gobCL"/>
          <w:szCs w:val="22"/>
          <w:lang w:val="es-ES"/>
        </w:rPr>
        <w:t xml:space="preserve">en que la zona de clientes (cuartel) se mantuvo sin suministro de agua potable. El cual </w:t>
      </w:r>
      <w:r w:rsidR="00832E48" w:rsidRPr="00832E48">
        <w:rPr>
          <w:rFonts w:ascii="gobCL" w:hAnsi="gobCL"/>
          <w:szCs w:val="22"/>
          <w:lang w:val="es-ES"/>
        </w:rPr>
        <w:t xml:space="preserve">no </w:t>
      </w:r>
      <w:r w:rsidR="00832E48" w:rsidRPr="00832E48">
        <w:rPr>
          <w:rFonts w:ascii="gobCL" w:hAnsi="gobCL"/>
          <w:szCs w:val="22"/>
          <w:lang w:val="es-ES"/>
        </w:rPr>
        <w:lastRenderedPageBreak/>
        <w:t>necesariamente</w:t>
      </w:r>
      <w:r w:rsidR="00B83FAB" w:rsidRPr="00832E48">
        <w:rPr>
          <w:rFonts w:ascii="gobCL" w:hAnsi="gobCL"/>
          <w:szCs w:val="22"/>
          <w:lang w:val="es-ES"/>
        </w:rPr>
        <w:t xml:space="preserve"> es el tiempo en que la rotura estuvo filtrando agua.</w:t>
      </w:r>
      <w:r>
        <w:rPr>
          <w:rFonts w:ascii="gobCL" w:hAnsi="gobCL"/>
          <w:szCs w:val="22"/>
          <w:lang w:val="es-ES"/>
        </w:rPr>
        <w:t xml:space="preserve">, pero si entrega </w:t>
      </w:r>
      <w:r w:rsidR="00BA1938">
        <w:rPr>
          <w:rFonts w:ascii="gobCL" w:hAnsi="gobCL"/>
          <w:szCs w:val="22"/>
          <w:lang w:val="es-ES"/>
        </w:rPr>
        <w:t>una buena aproximación</w:t>
      </w:r>
      <w:r>
        <w:rPr>
          <w:rFonts w:ascii="gobCL" w:hAnsi="gobCL"/>
          <w:szCs w:val="22"/>
          <w:lang w:val="es-ES"/>
        </w:rPr>
        <w:t xml:space="preserve"> a la duración del escurrimiento</w:t>
      </w:r>
      <w:r w:rsidR="00B83FAB" w:rsidRPr="00832E48">
        <w:rPr>
          <w:rFonts w:ascii="gobCL" w:hAnsi="gobCL"/>
          <w:szCs w:val="22"/>
          <w:lang w:val="es-ES"/>
        </w:rPr>
        <w:t>.</w:t>
      </w:r>
    </w:p>
    <w:p w14:paraId="782A8006" w14:textId="75CF944D" w:rsidR="009B5E2C" w:rsidRPr="00410CAA" w:rsidRDefault="009B5E2C" w:rsidP="00832E48">
      <w:pPr>
        <w:tabs>
          <w:tab w:val="left" w:pos="1134"/>
        </w:tabs>
        <w:spacing w:line="360" w:lineRule="auto"/>
        <w:jc w:val="both"/>
        <w:rPr>
          <w:rFonts w:ascii="gobCL" w:hAnsi="gobCL"/>
          <w:szCs w:val="22"/>
          <w:u w:val="single"/>
          <w:lang w:val="es-ES"/>
        </w:rPr>
      </w:pPr>
      <w:r w:rsidRPr="009B5E2C">
        <w:rPr>
          <w:rFonts w:ascii="gobCL" w:hAnsi="gobCL"/>
          <w:b/>
          <w:bCs/>
          <w:szCs w:val="22"/>
          <w:lang w:val="es-ES"/>
        </w:rPr>
        <w:t>Se incluye la información de</w:t>
      </w:r>
      <w:r>
        <w:rPr>
          <w:rFonts w:ascii="gobCL" w:hAnsi="gobCL"/>
          <w:b/>
          <w:bCs/>
          <w:szCs w:val="22"/>
          <w:lang w:val="es-ES"/>
        </w:rPr>
        <w:t xml:space="preserve"> </w:t>
      </w:r>
      <w:r w:rsidR="00410CAA">
        <w:rPr>
          <w:rFonts w:ascii="gobCL" w:hAnsi="gobCL"/>
          <w:b/>
          <w:bCs/>
          <w:szCs w:val="22"/>
          <w:lang w:val="es-ES"/>
        </w:rPr>
        <w:t>d</w:t>
      </w:r>
      <w:r>
        <w:rPr>
          <w:rFonts w:ascii="gobCL" w:hAnsi="gobCL"/>
          <w:b/>
          <w:bCs/>
          <w:szCs w:val="22"/>
          <w:lang w:val="es-ES"/>
        </w:rPr>
        <w:t>uración de</w:t>
      </w:r>
      <w:r w:rsidRPr="009B5E2C">
        <w:rPr>
          <w:rFonts w:ascii="gobCL" w:hAnsi="gobCL"/>
          <w:b/>
          <w:bCs/>
          <w:szCs w:val="22"/>
          <w:lang w:val="es-ES"/>
        </w:rPr>
        <w:t xml:space="preserve"> </w:t>
      </w:r>
      <w:r w:rsidR="00410CAA">
        <w:rPr>
          <w:rFonts w:ascii="gobCL" w:hAnsi="gobCL"/>
          <w:b/>
          <w:bCs/>
          <w:szCs w:val="22"/>
          <w:lang w:val="es-ES"/>
        </w:rPr>
        <w:t>r</w:t>
      </w:r>
      <w:r w:rsidRPr="009B5E2C">
        <w:rPr>
          <w:rFonts w:ascii="gobCL" w:hAnsi="gobCL"/>
          <w:b/>
          <w:bCs/>
          <w:szCs w:val="22"/>
          <w:lang w:val="es-ES"/>
        </w:rPr>
        <w:t>oturas</w:t>
      </w:r>
      <w:r w:rsidR="00410CAA">
        <w:rPr>
          <w:rFonts w:ascii="gobCL" w:hAnsi="gobCL"/>
          <w:b/>
          <w:bCs/>
          <w:szCs w:val="22"/>
          <w:lang w:val="es-ES"/>
        </w:rPr>
        <w:t xml:space="preserve"> </w:t>
      </w:r>
      <w:bookmarkStart w:id="0" w:name="_Hlk132270054"/>
      <w:r w:rsidR="00410CAA">
        <w:rPr>
          <w:rFonts w:ascii="gobCL" w:hAnsi="gobCL"/>
          <w:b/>
          <w:bCs/>
          <w:szCs w:val="22"/>
          <w:lang w:val="es-ES"/>
        </w:rPr>
        <w:t>ocurridas en el 4to trimestre de 2022</w:t>
      </w:r>
      <w:bookmarkEnd w:id="0"/>
      <w:r w:rsidR="00410CAA">
        <w:rPr>
          <w:rFonts w:ascii="gobCL" w:hAnsi="gobCL"/>
          <w:b/>
          <w:bCs/>
          <w:szCs w:val="22"/>
          <w:lang w:val="es-ES"/>
        </w:rPr>
        <w:t>,</w:t>
      </w:r>
      <w:r w:rsidRPr="009B5E2C">
        <w:rPr>
          <w:rFonts w:ascii="gobCL" w:hAnsi="gobCL"/>
          <w:b/>
          <w:bCs/>
          <w:szCs w:val="22"/>
          <w:lang w:val="es-ES"/>
        </w:rPr>
        <w:t xml:space="preserve"> </w:t>
      </w:r>
      <w:r w:rsidRPr="00410CAA">
        <w:rPr>
          <w:rFonts w:ascii="gobCL" w:hAnsi="gobCL"/>
          <w:b/>
          <w:bCs/>
          <w:szCs w:val="22"/>
          <w:u w:val="single"/>
          <w:lang w:val="es-ES"/>
        </w:rPr>
        <w:t>en Anexo 1.</w:t>
      </w:r>
    </w:p>
    <w:p w14:paraId="21DF5F2D" w14:textId="720D029F" w:rsidR="003432A1" w:rsidRDefault="003432A1" w:rsidP="00832E48">
      <w:pPr>
        <w:tabs>
          <w:tab w:val="left" w:pos="1134"/>
        </w:tabs>
        <w:spacing w:line="360" w:lineRule="auto"/>
        <w:jc w:val="both"/>
        <w:rPr>
          <w:rFonts w:ascii="gobCL" w:hAnsi="gobCL"/>
          <w:szCs w:val="22"/>
          <w:lang w:val="es-ES"/>
        </w:rPr>
      </w:pPr>
      <w:r w:rsidRPr="00AD6B57">
        <w:rPr>
          <w:rFonts w:ascii="gobCL" w:hAnsi="gobCL"/>
          <w:noProof/>
          <w:sz w:val="20"/>
          <w:szCs w:val="20"/>
          <w:lang w:val="es-ES"/>
        </w:rPr>
        <mc:AlternateContent>
          <mc:Choice Requires="wps">
            <w:drawing>
              <wp:anchor distT="0" distB="0" distL="114300" distR="114300" simplePos="0" relativeHeight="251666432" behindDoc="0" locked="0" layoutInCell="1" allowOverlap="1" wp14:anchorId="5CA24CD0" wp14:editId="6CC18932">
                <wp:simplePos x="0" y="0"/>
                <wp:positionH relativeFrom="margin">
                  <wp:align>left</wp:align>
                </wp:positionH>
                <wp:positionV relativeFrom="paragraph">
                  <wp:posOffset>273657</wp:posOffset>
                </wp:positionV>
                <wp:extent cx="5716905" cy="32385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5716905" cy="323850"/>
                        </a:xfrm>
                        <a:prstGeom prst="rect">
                          <a:avLst/>
                        </a:prstGeom>
                        <a:solidFill>
                          <a:srgbClr val="008BD4">
                            <a:alpha val="19606"/>
                          </a:srgbClr>
                        </a:solidFill>
                        <a:ln w="6350">
                          <a:noFill/>
                        </a:ln>
                      </wps:spPr>
                      <wps:txbx>
                        <w:txbxContent>
                          <w:p w14:paraId="0CF3C64A" w14:textId="04994CF0" w:rsidR="008F05BF" w:rsidRPr="005D4AF9" w:rsidRDefault="00C200AD" w:rsidP="008F05BF">
                            <w:pPr>
                              <w:rPr>
                                <w:rFonts w:ascii="gobCL" w:hAnsi="gobCL"/>
                                <w:color w:val="008BD4"/>
                              </w:rPr>
                            </w:pPr>
                            <w:r w:rsidRPr="00C200AD">
                              <w:rPr>
                                <w:rFonts w:ascii="gobCL" w:hAnsi="gobCL"/>
                                <w:color w:val="008BD4"/>
                              </w:rPr>
                              <w:t>3.</w:t>
                            </w:r>
                            <w:r w:rsidRPr="00C200AD">
                              <w:rPr>
                                <w:rFonts w:ascii="gobCL" w:hAnsi="gobCL"/>
                                <w:color w:val="008BD4"/>
                              </w:rPr>
                              <w:tab/>
                              <w:t>Aproximado de la cantidad de agua desperdiciada producto de las roturas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24CD0" id="Cuadro de texto 15" o:spid="_x0000_s1029" type="#_x0000_t202" style="position:absolute;left:0;text-align:left;margin-left:0;margin-top:21.55pt;width:450.15pt;height:2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" fillcolor="#008bd4" stroked="f" strokeweight=".5pt">
                <v:fill opacity="12850f"/>
                <v:textbox>
                  <w:txbxContent>
                    <w:p w14:paraId="0CF3C64A" w14:textId="04994CF0" w:rsidR="008F05BF" w:rsidRPr="005D4AF9" w:rsidRDefault="00C200AD" w:rsidP="008F05BF">
                      <w:pPr>
                        <w:rPr>
                          <w:rFonts w:ascii="gobCL" w:hAnsi="gobCL"/>
                          <w:color w:val="008BD4"/>
                        </w:rPr>
                      </w:pPr>
                      <w:r w:rsidRPr="00C200AD">
                        <w:rPr>
                          <w:rFonts w:ascii="gobCL" w:hAnsi="gobCL"/>
                          <w:color w:val="008BD4"/>
                        </w:rPr>
                        <w:t>3.</w:t>
                      </w:r>
                      <w:r w:rsidRPr="00C200AD">
                        <w:rPr>
                          <w:rFonts w:ascii="gobCL" w:hAnsi="gobCL"/>
                          <w:color w:val="008BD4"/>
                        </w:rPr>
                        <w:tab/>
                        <w:t>Aproximado de la cantidad de agua desperdiciada producto de las roturas</w:t>
                      </w:r>
                    </w:p>
                  </w:txbxContent>
                </v:textbox>
                <w10:wrap anchorx="margin"/>
              </v:shape>
            </w:pict>
          </mc:Fallback>
        </mc:AlternateContent>
      </w:r>
    </w:p>
    <w:p w14:paraId="38E878E8" w14:textId="30C4F8FA" w:rsidR="003432A1" w:rsidRDefault="003432A1" w:rsidP="00832E48">
      <w:pPr>
        <w:tabs>
          <w:tab w:val="left" w:pos="1134"/>
        </w:tabs>
        <w:spacing w:line="360" w:lineRule="auto"/>
        <w:jc w:val="both"/>
        <w:rPr>
          <w:rFonts w:ascii="gobCL" w:hAnsi="gobCL"/>
          <w:szCs w:val="22"/>
          <w:lang w:val="es-ES"/>
        </w:rPr>
      </w:pPr>
    </w:p>
    <w:p w14:paraId="136207B3" w14:textId="1B49B1E6" w:rsidR="008F05BF" w:rsidRPr="003432A1" w:rsidRDefault="008F05BF" w:rsidP="003432A1">
      <w:pPr>
        <w:tabs>
          <w:tab w:val="left" w:pos="1134"/>
        </w:tabs>
        <w:spacing w:line="360" w:lineRule="auto"/>
        <w:jc w:val="both"/>
        <w:rPr>
          <w:rFonts w:ascii="gobCL" w:hAnsi="gobCL"/>
          <w:szCs w:val="22"/>
          <w:lang w:val="es-ES"/>
        </w:rPr>
      </w:pPr>
    </w:p>
    <w:p w14:paraId="0F279228" w14:textId="5A59E6E7" w:rsidR="00250F35" w:rsidRDefault="00250F35" w:rsidP="003432A1">
      <w:pPr>
        <w:tabs>
          <w:tab w:val="left" w:pos="1134"/>
        </w:tabs>
        <w:spacing w:line="360" w:lineRule="auto"/>
        <w:jc w:val="both"/>
        <w:rPr>
          <w:rFonts w:ascii="gobCL" w:hAnsi="gobCL"/>
          <w:szCs w:val="22"/>
          <w:lang w:val="es-ES"/>
        </w:rPr>
      </w:pPr>
      <w:r>
        <w:rPr>
          <w:rFonts w:ascii="gobCL" w:hAnsi="gobCL"/>
          <w:szCs w:val="22"/>
          <w:lang w:val="es-ES"/>
        </w:rPr>
        <w:t>En la actualidad esta Superintendencia no mantiene registro del agua que se desperdicia en cada una de estas roturas ya que este volumen depende de muchas variables</w:t>
      </w:r>
      <w:r w:rsidR="00F128B4">
        <w:rPr>
          <w:rFonts w:ascii="gobCL" w:hAnsi="gobCL"/>
          <w:szCs w:val="22"/>
          <w:lang w:val="es-ES"/>
        </w:rPr>
        <w:t>,</w:t>
      </w:r>
      <w:r>
        <w:rPr>
          <w:rFonts w:ascii="gobCL" w:hAnsi="gobCL"/>
          <w:szCs w:val="22"/>
          <w:lang w:val="es-ES"/>
        </w:rPr>
        <w:t xml:space="preserve"> para las que existe mucha dificultan de poder realizar su medición.  Por ejemplo, dependerá de aspectos como el tipo de sueldo en que está inmersa la tubería, si el agua de la filtración aflora o se filtra en el terreno, del tiempo que se requiere para el cierre de las válvulas de la red </w:t>
      </w:r>
      <w:r w:rsidR="00F128B4">
        <w:rPr>
          <w:rFonts w:ascii="gobCL" w:hAnsi="gobCL"/>
          <w:szCs w:val="22"/>
          <w:lang w:val="es-ES"/>
        </w:rPr>
        <w:t xml:space="preserve">que son necesarias </w:t>
      </w:r>
      <w:r>
        <w:rPr>
          <w:rFonts w:ascii="gobCL" w:hAnsi="gobCL"/>
          <w:szCs w:val="22"/>
          <w:lang w:val="es-ES"/>
        </w:rPr>
        <w:t xml:space="preserve">para aislar el lugar </w:t>
      </w:r>
      <w:r w:rsidR="00F128B4">
        <w:rPr>
          <w:rFonts w:ascii="gobCL" w:hAnsi="gobCL"/>
          <w:szCs w:val="22"/>
          <w:lang w:val="es-ES"/>
        </w:rPr>
        <w:t>de la falla, etc.</w:t>
      </w:r>
    </w:p>
    <w:p w14:paraId="53752AE6" w14:textId="5C00453E" w:rsidR="00B94091" w:rsidRPr="003432A1" w:rsidRDefault="00F128B4" w:rsidP="003432A1">
      <w:pPr>
        <w:tabs>
          <w:tab w:val="left" w:pos="1134"/>
        </w:tabs>
        <w:spacing w:line="360" w:lineRule="auto"/>
        <w:jc w:val="both"/>
        <w:rPr>
          <w:rFonts w:ascii="gobCL" w:hAnsi="gobCL"/>
          <w:szCs w:val="22"/>
          <w:lang w:val="es-ES"/>
        </w:rPr>
      </w:pPr>
      <w:r>
        <w:rPr>
          <w:rFonts w:ascii="gobCL" w:hAnsi="gobCL"/>
          <w:szCs w:val="22"/>
          <w:lang w:val="es-ES"/>
        </w:rPr>
        <w:t xml:space="preserve">Por ello no es posible establecer, ni siquiera de manera aproximada el volumen que se desperdicia en cada una de estas roturas. </w:t>
      </w:r>
    </w:p>
    <w:p w14:paraId="7C066B36" w14:textId="1D4BE883" w:rsidR="00832E48" w:rsidRPr="003432A1" w:rsidRDefault="00832E48" w:rsidP="003432A1">
      <w:pPr>
        <w:tabs>
          <w:tab w:val="left" w:pos="1134"/>
        </w:tabs>
        <w:spacing w:line="360" w:lineRule="auto"/>
        <w:jc w:val="both"/>
        <w:rPr>
          <w:rFonts w:ascii="gobCL" w:hAnsi="gobCL"/>
          <w:szCs w:val="22"/>
          <w:lang w:val="es-ES"/>
        </w:rPr>
      </w:pPr>
    </w:p>
    <w:p w14:paraId="0423A0AB" w14:textId="77777777" w:rsidR="00832E48" w:rsidRPr="00AD6B57" w:rsidRDefault="00832E48" w:rsidP="00977DC9">
      <w:pPr>
        <w:spacing w:line="360" w:lineRule="auto"/>
        <w:jc w:val="both"/>
        <w:rPr>
          <w:rFonts w:ascii="gobCL" w:hAnsi="gobCL"/>
          <w:sz w:val="20"/>
          <w:szCs w:val="20"/>
          <w:lang w:val="es-ES"/>
        </w:rPr>
      </w:pPr>
    </w:p>
    <w:p w14:paraId="02B7BE9F" w14:textId="64D5E950" w:rsidR="008F05BF" w:rsidRPr="00AD6B57" w:rsidRDefault="008F05BF" w:rsidP="00977DC9">
      <w:pPr>
        <w:spacing w:line="360" w:lineRule="auto"/>
        <w:jc w:val="both"/>
        <w:rPr>
          <w:rFonts w:ascii="gobCL" w:hAnsi="gobCL"/>
          <w:sz w:val="20"/>
          <w:szCs w:val="20"/>
          <w:lang w:val="es-ES"/>
        </w:rPr>
      </w:pPr>
      <w:r w:rsidRPr="00AD6B57">
        <w:rPr>
          <w:rFonts w:ascii="gobCL" w:hAnsi="gobCL"/>
          <w:noProof/>
          <w:sz w:val="20"/>
          <w:szCs w:val="20"/>
          <w:lang w:val="es-ES"/>
        </w:rPr>
        <mc:AlternateContent>
          <mc:Choice Requires="wps">
            <w:drawing>
              <wp:anchor distT="0" distB="0" distL="114300" distR="114300" simplePos="0" relativeHeight="251668480" behindDoc="0" locked="0" layoutInCell="1" allowOverlap="1" wp14:anchorId="59AD21AF" wp14:editId="37303B46">
                <wp:simplePos x="0" y="0"/>
                <wp:positionH relativeFrom="margin">
                  <wp:align>left</wp:align>
                </wp:positionH>
                <wp:positionV relativeFrom="paragraph">
                  <wp:posOffset>15875</wp:posOffset>
                </wp:positionV>
                <wp:extent cx="5716905" cy="32385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5716905" cy="323850"/>
                        </a:xfrm>
                        <a:prstGeom prst="rect">
                          <a:avLst/>
                        </a:prstGeom>
                        <a:solidFill>
                          <a:srgbClr val="008BD4">
                            <a:alpha val="19606"/>
                          </a:srgbClr>
                        </a:solidFill>
                        <a:ln w="6350">
                          <a:noFill/>
                        </a:ln>
                      </wps:spPr>
                      <wps:txbx>
                        <w:txbxContent>
                          <w:p w14:paraId="286746AA" w14:textId="5F782628" w:rsidR="008F05BF" w:rsidRPr="00C200AD" w:rsidRDefault="00C200AD" w:rsidP="008F05BF">
                            <w:pPr>
                              <w:rPr>
                                <w:rFonts w:ascii="gobCL" w:hAnsi="gobCL"/>
                                <w:color w:val="008BD4"/>
                                <w:lang w:val="es-ES"/>
                              </w:rPr>
                            </w:pPr>
                            <w:r w:rsidRPr="00C200AD">
                              <w:rPr>
                                <w:rFonts w:ascii="gobCL" w:hAnsi="gobCL"/>
                                <w:color w:val="008BD4"/>
                              </w:rPr>
                              <w:t>4.</w:t>
                            </w:r>
                            <w:r w:rsidRPr="00C200AD">
                              <w:rPr>
                                <w:rFonts w:ascii="gobCL" w:hAnsi="gobCL"/>
                                <w:color w:val="008BD4"/>
                              </w:rPr>
                              <w:tab/>
                            </w:r>
                            <w:r w:rsidRPr="00C200AD">
                              <w:rPr>
                                <w:rFonts w:ascii="gobCL" w:hAnsi="gobCL"/>
                                <w:color w:val="008BD4"/>
                                <w:szCs w:val="22"/>
                              </w:rPr>
                              <w:t>Medidas dispuestas por las empresas sanitarias para solucionar las roturas de matriz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D21AF" id="Cuadro de texto 16" o:spid="_x0000_s1030" type="#_x0000_t202" style="position:absolute;left:0;text-align:left;margin-left:0;margin-top:1.25pt;width:450.15pt;height:25.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" fillcolor="#008bd4" stroked="f" strokeweight=".5pt">
                <v:fill opacity="12850f"/>
                <v:textbox>
                  <w:txbxContent>
                    <w:p w14:paraId="286746AA" w14:textId="5F782628" w:rsidR="008F05BF" w:rsidRPr="00C200AD" w:rsidRDefault="00C200AD" w:rsidP="008F05BF">
                      <w:pPr>
                        <w:rPr>
                          <w:rFonts w:ascii="gobCL" w:hAnsi="gobCL"/>
                          <w:color w:val="008BD4"/>
                          <w:lang w:val="es-ES"/>
                        </w:rPr>
                      </w:pPr>
                      <w:r w:rsidRPr="00C200AD">
                        <w:rPr>
                          <w:rFonts w:ascii="gobCL" w:hAnsi="gobCL"/>
                          <w:color w:val="008BD4"/>
                        </w:rPr>
                        <w:t>4.</w:t>
                      </w:r>
                      <w:r w:rsidRPr="00C200AD">
                        <w:rPr>
                          <w:rFonts w:ascii="gobCL" w:hAnsi="gobCL"/>
                          <w:color w:val="008BD4"/>
                        </w:rPr>
                        <w:tab/>
                      </w:r>
                      <w:r w:rsidRPr="00C200AD">
                        <w:rPr>
                          <w:rFonts w:ascii="gobCL" w:hAnsi="gobCL"/>
                          <w:color w:val="008BD4"/>
                          <w:szCs w:val="22"/>
                        </w:rPr>
                        <w:t>Medidas dispuestas por las empresas sanitarias para solucionar las roturas de matriz</w:t>
                      </w:r>
                    </w:p>
                  </w:txbxContent>
                </v:textbox>
                <w10:wrap anchorx="margin"/>
              </v:shape>
            </w:pict>
          </mc:Fallback>
        </mc:AlternateContent>
      </w:r>
    </w:p>
    <w:p w14:paraId="6C79AB28" w14:textId="12A7FBB8" w:rsidR="008F05BF" w:rsidRPr="00AD6B57" w:rsidRDefault="008F05BF" w:rsidP="00977DC9">
      <w:pPr>
        <w:spacing w:line="360" w:lineRule="auto"/>
        <w:jc w:val="both"/>
        <w:rPr>
          <w:rFonts w:ascii="gobCL" w:hAnsi="gobCL"/>
          <w:sz w:val="20"/>
          <w:szCs w:val="20"/>
          <w:lang w:val="es-ES"/>
        </w:rPr>
      </w:pPr>
    </w:p>
    <w:p w14:paraId="019FD824" w14:textId="37A5F4BA" w:rsidR="00FE64D4" w:rsidRDefault="00F128B4" w:rsidP="00977DC9">
      <w:pPr>
        <w:spacing w:line="360" w:lineRule="auto"/>
        <w:jc w:val="both"/>
        <w:rPr>
          <w:rFonts w:ascii="gobCL" w:hAnsi="gobCL"/>
          <w:sz w:val="20"/>
          <w:szCs w:val="20"/>
          <w:lang w:val="es-ES"/>
        </w:rPr>
      </w:pPr>
      <w:r>
        <w:rPr>
          <w:rFonts w:ascii="gobCL" w:hAnsi="gobCL"/>
          <w:sz w:val="20"/>
          <w:szCs w:val="20"/>
          <w:lang w:val="es-ES"/>
        </w:rPr>
        <w:t xml:space="preserve">Esta SISS no mantiene un registro específico de cada una de las medidas que se hubieren adoptado para cada corte ya que en general las empresas deben cumplir con lo dispuesto </w:t>
      </w:r>
      <w:r w:rsidR="00FE64D4">
        <w:rPr>
          <w:rFonts w:ascii="gobCL" w:hAnsi="gobCL"/>
          <w:sz w:val="20"/>
          <w:szCs w:val="20"/>
          <w:lang w:val="es-ES"/>
        </w:rPr>
        <w:t xml:space="preserve">en el </w:t>
      </w:r>
      <w:r w:rsidR="00FE64D4" w:rsidRPr="00FE64D4">
        <w:rPr>
          <w:rFonts w:ascii="gobCL" w:hAnsi="gobCL"/>
          <w:sz w:val="20"/>
          <w:szCs w:val="20"/>
          <w:lang w:val="es-ES"/>
        </w:rPr>
        <w:t>en el artículo N° 122 del reglamento, esto es, las concesionarias deberán contar con un procedimiento especial que permita con prontitud y en forma permanente atender las emergencias</w:t>
      </w:r>
      <w:r w:rsidR="00234E93">
        <w:rPr>
          <w:rFonts w:ascii="gobCL" w:hAnsi="gobCL"/>
          <w:sz w:val="20"/>
          <w:szCs w:val="20"/>
          <w:lang w:val="es-ES"/>
        </w:rPr>
        <w:t>.</w:t>
      </w:r>
      <w:r w:rsidR="00FE64D4" w:rsidRPr="00FE64D4">
        <w:rPr>
          <w:rFonts w:ascii="gobCL" w:hAnsi="gobCL"/>
          <w:sz w:val="20"/>
          <w:szCs w:val="20"/>
          <w:lang w:val="es-ES"/>
        </w:rPr>
        <w:t xml:space="preserve">  </w:t>
      </w:r>
      <w:r w:rsidR="00FE64D4">
        <w:rPr>
          <w:rFonts w:ascii="gobCL" w:hAnsi="gobCL"/>
          <w:sz w:val="20"/>
          <w:szCs w:val="20"/>
          <w:lang w:val="es-ES"/>
        </w:rPr>
        <w:t xml:space="preserve">Por lo anterior, las empresas deben implementar sistemas de guardias continuas y turnos de manera de poder contar con equipos que en cualquier momento puedas atender estas fallas. En general las medidas para atender cada una de estas fallas son similares y no se cuenta con un registro de cada una de las medidas que son adoptadas en cada caso. </w:t>
      </w:r>
    </w:p>
    <w:p w14:paraId="53B84CF4" w14:textId="4007ADB5" w:rsidR="00253F23" w:rsidRDefault="00FE64D4" w:rsidP="00977DC9">
      <w:pPr>
        <w:spacing w:line="360" w:lineRule="auto"/>
        <w:jc w:val="both"/>
        <w:rPr>
          <w:rFonts w:ascii="gobCL" w:hAnsi="gobCL"/>
          <w:sz w:val="20"/>
          <w:szCs w:val="20"/>
          <w:lang w:val="es-ES"/>
        </w:rPr>
      </w:pPr>
      <w:r w:rsidRPr="00FE64D4">
        <w:rPr>
          <w:rFonts w:ascii="gobCL" w:hAnsi="gobCL"/>
          <w:sz w:val="20"/>
          <w:szCs w:val="20"/>
          <w:lang w:val="es-ES"/>
        </w:rPr>
        <w:t xml:space="preserve"> </w:t>
      </w:r>
    </w:p>
    <w:p w14:paraId="12A346FA" w14:textId="1CE69EAB" w:rsidR="00832E48" w:rsidRDefault="00832E48" w:rsidP="00977DC9">
      <w:pPr>
        <w:spacing w:line="360" w:lineRule="auto"/>
        <w:jc w:val="both"/>
        <w:rPr>
          <w:rFonts w:ascii="gobCL" w:hAnsi="gobCL"/>
          <w:sz w:val="20"/>
          <w:szCs w:val="20"/>
          <w:lang w:val="es-ES"/>
        </w:rPr>
      </w:pPr>
    </w:p>
    <w:p w14:paraId="5661C24A" w14:textId="7F676540" w:rsidR="00832E48" w:rsidRDefault="00832E48" w:rsidP="00977DC9">
      <w:pPr>
        <w:spacing w:line="360" w:lineRule="auto"/>
        <w:jc w:val="both"/>
        <w:rPr>
          <w:rFonts w:ascii="gobCL" w:hAnsi="gobCL"/>
          <w:sz w:val="20"/>
          <w:szCs w:val="20"/>
          <w:lang w:val="es-ES"/>
        </w:rPr>
      </w:pPr>
    </w:p>
    <w:p w14:paraId="431F813C" w14:textId="77777777" w:rsidR="00234E93" w:rsidRDefault="00234E93" w:rsidP="00977DC9">
      <w:pPr>
        <w:spacing w:line="360" w:lineRule="auto"/>
        <w:jc w:val="both"/>
        <w:rPr>
          <w:rFonts w:ascii="gobCL" w:hAnsi="gobCL"/>
          <w:sz w:val="20"/>
          <w:szCs w:val="20"/>
          <w:lang w:val="es-ES"/>
        </w:rPr>
      </w:pPr>
    </w:p>
    <w:p w14:paraId="5108F514" w14:textId="11387593" w:rsidR="00253F23" w:rsidRPr="00AD6B57" w:rsidRDefault="00253F23" w:rsidP="00977DC9">
      <w:pPr>
        <w:spacing w:line="360" w:lineRule="auto"/>
        <w:jc w:val="both"/>
        <w:rPr>
          <w:rFonts w:ascii="gobCL" w:hAnsi="gobCL"/>
          <w:sz w:val="20"/>
          <w:szCs w:val="20"/>
          <w:lang w:val="es-ES"/>
        </w:rPr>
      </w:pPr>
      <w:r w:rsidRPr="00AD6B57">
        <w:rPr>
          <w:rFonts w:ascii="gobCL" w:hAnsi="gobCL"/>
          <w:noProof/>
          <w:sz w:val="20"/>
          <w:szCs w:val="20"/>
          <w:lang w:val="es-ES"/>
        </w:rPr>
        <mc:AlternateContent>
          <mc:Choice Requires="wps">
            <w:drawing>
              <wp:anchor distT="0" distB="0" distL="114300" distR="114300" simplePos="0" relativeHeight="251670528" behindDoc="0" locked="0" layoutInCell="1" allowOverlap="1" wp14:anchorId="3E0352E2" wp14:editId="44E7E8F6">
                <wp:simplePos x="0" y="0"/>
                <wp:positionH relativeFrom="margin">
                  <wp:align>left</wp:align>
                </wp:positionH>
                <wp:positionV relativeFrom="paragraph">
                  <wp:posOffset>32385</wp:posOffset>
                </wp:positionV>
                <wp:extent cx="5716905" cy="32385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5716905" cy="323850"/>
                        </a:xfrm>
                        <a:prstGeom prst="rect">
                          <a:avLst/>
                        </a:prstGeom>
                        <a:solidFill>
                          <a:srgbClr val="008BD4">
                            <a:alpha val="19606"/>
                          </a:srgbClr>
                        </a:solidFill>
                        <a:ln w="6350">
                          <a:noFill/>
                        </a:ln>
                      </wps:spPr>
                      <wps:txbx>
                        <w:txbxContent>
                          <w:p w14:paraId="307A5F83" w14:textId="649D856D" w:rsidR="00253F23" w:rsidRPr="005D4AF9" w:rsidRDefault="00AD6B57" w:rsidP="00253F23">
                            <w:pPr>
                              <w:rPr>
                                <w:rFonts w:ascii="gobCL" w:hAnsi="gobCL"/>
                                <w:color w:val="008BD4"/>
                              </w:rPr>
                            </w:pPr>
                            <w:r w:rsidRPr="00AD6B57">
                              <w:rPr>
                                <w:rFonts w:ascii="gobCL" w:hAnsi="gobCL"/>
                                <w:color w:val="008BD4"/>
                              </w:rPr>
                              <w:t>5.</w:t>
                            </w:r>
                            <w:r w:rsidRPr="00AD6B57">
                              <w:rPr>
                                <w:rFonts w:ascii="gobCL" w:hAnsi="gobCL"/>
                                <w:color w:val="008BD4"/>
                              </w:rPr>
                              <w:tab/>
                              <w:t>Planes de contingencia de las empresas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352E2" id="Cuadro de texto 17" o:spid="_x0000_s1031" type="#_x0000_t202" style="position:absolute;left:0;text-align:left;margin-left:0;margin-top:2.55pt;width:450.15pt;height:25.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" fillcolor="#008bd4" stroked="f" strokeweight=".5pt">
                <v:fill opacity="12850f"/>
                <v:textbox>
                  <w:txbxContent>
                    <w:p w14:paraId="307A5F83" w14:textId="649D856D" w:rsidR="00253F23" w:rsidRPr="005D4AF9" w:rsidRDefault="00AD6B57" w:rsidP="00253F23">
                      <w:pPr>
                        <w:rPr>
                          <w:rFonts w:ascii="gobCL" w:hAnsi="gobCL"/>
                          <w:color w:val="008BD4"/>
                        </w:rPr>
                      </w:pPr>
                      <w:r w:rsidRPr="00AD6B57">
                        <w:rPr>
                          <w:rFonts w:ascii="gobCL" w:hAnsi="gobCL"/>
                          <w:color w:val="008BD4"/>
                        </w:rPr>
                        <w:t>5.</w:t>
                      </w:r>
                      <w:r w:rsidRPr="00AD6B57">
                        <w:rPr>
                          <w:rFonts w:ascii="gobCL" w:hAnsi="gobCL"/>
                          <w:color w:val="008BD4"/>
                        </w:rPr>
                        <w:tab/>
                        <w:t>Planes de contingencia de las empresas</w:t>
                      </w:r>
                    </w:p>
                  </w:txbxContent>
                </v:textbox>
                <w10:wrap anchorx="margin"/>
              </v:shape>
            </w:pict>
          </mc:Fallback>
        </mc:AlternateContent>
      </w:r>
    </w:p>
    <w:p w14:paraId="553F2975" w14:textId="732656ED" w:rsidR="00253F23" w:rsidRPr="00AD6B57" w:rsidRDefault="00253F23" w:rsidP="00977DC9">
      <w:pPr>
        <w:spacing w:line="360" w:lineRule="auto"/>
        <w:jc w:val="both"/>
        <w:rPr>
          <w:rFonts w:ascii="gobCL" w:hAnsi="gobCL"/>
          <w:sz w:val="20"/>
          <w:szCs w:val="20"/>
          <w:lang w:val="es-ES"/>
        </w:rPr>
      </w:pPr>
    </w:p>
    <w:p w14:paraId="504DDA48" w14:textId="7913EBFD" w:rsidR="00832E48" w:rsidRDefault="00FE64D4" w:rsidP="00977DC9">
      <w:pPr>
        <w:spacing w:line="360" w:lineRule="auto"/>
        <w:jc w:val="both"/>
        <w:rPr>
          <w:rFonts w:ascii="gobCL" w:hAnsi="gobCL"/>
          <w:sz w:val="20"/>
          <w:szCs w:val="22"/>
          <w:lang w:val="es-ES"/>
        </w:rPr>
      </w:pPr>
      <w:r>
        <w:rPr>
          <w:rFonts w:ascii="gobCL" w:hAnsi="gobCL"/>
          <w:sz w:val="20"/>
          <w:szCs w:val="22"/>
          <w:lang w:val="es-ES"/>
        </w:rPr>
        <w:t>Similar a lo señalado en el punto anterior</w:t>
      </w:r>
      <w:r w:rsidR="00234E93">
        <w:rPr>
          <w:rFonts w:ascii="gobCL" w:hAnsi="gobCL"/>
          <w:sz w:val="20"/>
          <w:szCs w:val="22"/>
          <w:lang w:val="es-ES"/>
        </w:rPr>
        <w:t xml:space="preserve"> </w:t>
      </w:r>
      <w:r w:rsidR="00234E93" w:rsidRPr="00234E93">
        <w:rPr>
          <w:rFonts w:ascii="gobCL" w:hAnsi="gobCL"/>
          <w:sz w:val="20"/>
          <w:szCs w:val="22"/>
          <w:lang w:val="es-ES"/>
        </w:rPr>
        <w:t xml:space="preserve">en el artículo N° 122 del reglamento, esto es, indicar que las concesionarias deberán contar con un procedimiento especial que permita con prontitud y en forma permanente atender las emergencias, </w:t>
      </w:r>
      <w:r w:rsidR="00234E93">
        <w:rPr>
          <w:rFonts w:ascii="gobCL" w:hAnsi="gobCL"/>
          <w:sz w:val="20"/>
          <w:szCs w:val="22"/>
          <w:lang w:val="es-ES"/>
        </w:rPr>
        <w:t xml:space="preserve">sin embargo, estos estándares definen de manera genérica la forma en la que se deben abordar este tipo de fallas, y no existen planes de contingencias específicos que se desarrollan para cada evento en particular. </w:t>
      </w:r>
    </w:p>
    <w:p w14:paraId="235AF150" w14:textId="72E848B3" w:rsidR="00832E48" w:rsidRDefault="00832E48" w:rsidP="00977DC9">
      <w:pPr>
        <w:spacing w:line="360" w:lineRule="auto"/>
        <w:jc w:val="both"/>
        <w:rPr>
          <w:rFonts w:ascii="gobCL" w:hAnsi="gobCL"/>
          <w:sz w:val="20"/>
          <w:szCs w:val="22"/>
          <w:lang w:val="es-ES"/>
        </w:rPr>
      </w:pPr>
    </w:p>
    <w:p w14:paraId="5439F589" w14:textId="77777777" w:rsidR="00832E48" w:rsidRPr="00AD6B57" w:rsidRDefault="00832E48" w:rsidP="00977DC9">
      <w:pPr>
        <w:spacing w:line="360" w:lineRule="auto"/>
        <w:jc w:val="both"/>
        <w:rPr>
          <w:rFonts w:ascii="gobCL" w:hAnsi="gobCL"/>
          <w:sz w:val="20"/>
          <w:szCs w:val="22"/>
          <w:lang w:val="es-ES"/>
        </w:rPr>
      </w:pPr>
    </w:p>
    <w:p w14:paraId="2385A697" w14:textId="7024E6F1" w:rsidR="00253F23" w:rsidRPr="00AD6B57" w:rsidRDefault="00253F23" w:rsidP="00977DC9">
      <w:pPr>
        <w:spacing w:line="360" w:lineRule="auto"/>
        <w:jc w:val="both"/>
        <w:rPr>
          <w:rFonts w:ascii="gobCL" w:hAnsi="gobCL"/>
          <w:sz w:val="20"/>
          <w:szCs w:val="20"/>
          <w:lang w:val="es-ES"/>
        </w:rPr>
      </w:pPr>
      <w:r w:rsidRPr="00AD6B57">
        <w:rPr>
          <w:rFonts w:ascii="gobCL" w:hAnsi="gobCL"/>
          <w:noProof/>
          <w:sz w:val="20"/>
          <w:szCs w:val="20"/>
          <w:lang w:val="es-ES"/>
        </w:rPr>
        <mc:AlternateContent>
          <mc:Choice Requires="wps">
            <w:drawing>
              <wp:anchor distT="0" distB="0" distL="114300" distR="114300" simplePos="0" relativeHeight="251672576" behindDoc="0" locked="0" layoutInCell="1" allowOverlap="1" wp14:anchorId="3A5FC31D" wp14:editId="5BE9661B">
                <wp:simplePos x="0" y="0"/>
                <wp:positionH relativeFrom="margin">
                  <wp:align>left</wp:align>
                </wp:positionH>
                <wp:positionV relativeFrom="paragraph">
                  <wp:posOffset>45720</wp:posOffset>
                </wp:positionV>
                <wp:extent cx="5716905" cy="295275"/>
                <wp:effectExtent l="0" t="0" r="0" b="9525"/>
                <wp:wrapNone/>
                <wp:docPr id="18" name="Cuadro de texto 18"/>
                <wp:cNvGraphicFramePr/>
                <a:graphic xmlns:a="http://schemas.openxmlformats.org/drawingml/2006/main">
                  <a:graphicData uri="http://schemas.microsoft.com/office/word/2010/wordprocessingShape">
                    <wps:wsp>
                      <wps:cNvSpPr txBox="1"/>
                      <wps:spPr>
                        <a:xfrm>
                          <a:off x="0" y="0"/>
                          <a:ext cx="5716905" cy="295275"/>
                        </a:xfrm>
                        <a:prstGeom prst="rect">
                          <a:avLst/>
                        </a:prstGeom>
                        <a:solidFill>
                          <a:srgbClr val="008BD4">
                            <a:alpha val="19896"/>
                          </a:srgbClr>
                        </a:solidFill>
                        <a:ln w="6350">
                          <a:noFill/>
                        </a:ln>
                      </wps:spPr>
                      <wps:txbx>
                        <w:txbxContent>
                          <w:p w14:paraId="5954A3C1" w14:textId="604DC173" w:rsidR="00253F23" w:rsidRPr="005D4AF9" w:rsidRDefault="00AD6B57" w:rsidP="00253F23">
                            <w:pPr>
                              <w:rPr>
                                <w:rFonts w:ascii="gobCL" w:hAnsi="gobCL"/>
                                <w:color w:val="008BD4"/>
                              </w:rPr>
                            </w:pPr>
                            <w:r w:rsidRPr="00AD6B57">
                              <w:rPr>
                                <w:rFonts w:ascii="gobCL" w:hAnsi="gobCL"/>
                                <w:color w:val="008BD4"/>
                              </w:rPr>
                              <w:t>6.</w:t>
                            </w:r>
                            <w:r w:rsidRPr="00AD6B57">
                              <w:rPr>
                                <w:rFonts w:ascii="gobCL" w:hAnsi="gobCL"/>
                                <w:color w:val="008BD4"/>
                              </w:rPr>
                              <w:tab/>
                              <w:t>Fiscalizaciones realizadas por este Servicio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FC31D" id="Cuadro de texto 18" o:spid="_x0000_s1032" type="#_x0000_t202" style="position:absolute;left:0;text-align:left;margin-left:0;margin-top:3.6pt;width:450.15pt;height:23.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" fillcolor="#008bd4" stroked="f" strokeweight=".5pt">
                <v:fill opacity="13107f"/>
                <v:textbox>
                  <w:txbxContent>
                    <w:p w14:paraId="5954A3C1" w14:textId="604DC173" w:rsidR="00253F23" w:rsidRPr="005D4AF9" w:rsidRDefault="00AD6B57" w:rsidP="00253F23">
                      <w:pPr>
                        <w:rPr>
                          <w:rFonts w:ascii="gobCL" w:hAnsi="gobCL"/>
                          <w:color w:val="008BD4"/>
                        </w:rPr>
                      </w:pPr>
                      <w:r w:rsidRPr="00AD6B57">
                        <w:rPr>
                          <w:rFonts w:ascii="gobCL" w:hAnsi="gobCL"/>
                          <w:color w:val="008BD4"/>
                        </w:rPr>
                        <w:t>6.</w:t>
                      </w:r>
                      <w:r w:rsidRPr="00AD6B57">
                        <w:rPr>
                          <w:rFonts w:ascii="gobCL" w:hAnsi="gobCL"/>
                          <w:color w:val="008BD4"/>
                        </w:rPr>
                        <w:tab/>
                        <w:t>Fiscalizaciones realizadas por este Servicio</w:t>
                      </w:r>
                    </w:p>
                  </w:txbxContent>
                </v:textbox>
                <w10:wrap anchorx="margin"/>
              </v:shape>
            </w:pict>
          </mc:Fallback>
        </mc:AlternateContent>
      </w:r>
    </w:p>
    <w:p w14:paraId="753AAD1D" w14:textId="4E42EFCD" w:rsidR="00253F23" w:rsidRPr="00AD6B57" w:rsidRDefault="00253F23" w:rsidP="00977DC9">
      <w:pPr>
        <w:spacing w:line="360" w:lineRule="auto"/>
        <w:jc w:val="both"/>
        <w:rPr>
          <w:rFonts w:ascii="gobCL" w:hAnsi="gobCL"/>
          <w:sz w:val="20"/>
          <w:szCs w:val="20"/>
          <w:lang w:val="es-ES"/>
        </w:rPr>
      </w:pPr>
    </w:p>
    <w:p w14:paraId="22C56E02" w14:textId="6FADEC81" w:rsidR="00234E93" w:rsidRDefault="00234E93" w:rsidP="00977DC9">
      <w:pPr>
        <w:spacing w:line="360" w:lineRule="auto"/>
        <w:jc w:val="both"/>
        <w:rPr>
          <w:rFonts w:ascii="gobCL" w:hAnsi="gobCL"/>
          <w:sz w:val="20"/>
          <w:szCs w:val="20"/>
          <w:lang w:val="es-ES"/>
        </w:rPr>
      </w:pPr>
      <w:r>
        <w:rPr>
          <w:rFonts w:ascii="gobCL" w:hAnsi="gobCL"/>
          <w:sz w:val="20"/>
          <w:szCs w:val="20"/>
          <w:lang w:val="es-ES"/>
        </w:rPr>
        <w:t>Sobre la base de la información que remiten las concesionarias, dos veces al año se hace una revisión de semestral de la base de datos de las fallas ocurridas y se evalúan en qu</w:t>
      </w:r>
      <w:r w:rsidR="003C0FD2">
        <w:rPr>
          <w:rFonts w:ascii="gobCL" w:hAnsi="gobCL"/>
          <w:sz w:val="20"/>
          <w:szCs w:val="20"/>
          <w:lang w:val="es-ES"/>
        </w:rPr>
        <w:t>é</w:t>
      </w:r>
      <w:r>
        <w:rPr>
          <w:rFonts w:ascii="gobCL" w:hAnsi="gobCL"/>
          <w:sz w:val="20"/>
          <w:szCs w:val="20"/>
          <w:lang w:val="es-ES"/>
        </w:rPr>
        <w:t xml:space="preserve"> casos corresponde la aplicación de una medi</w:t>
      </w:r>
      <w:r w:rsidR="003C0FD2">
        <w:rPr>
          <w:rFonts w:ascii="gobCL" w:hAnsi="gobCL"/>
          <w:sz w:val="20"/>
          <w:szCs w:val="20"/>
          <w:lang w:val="es-ES"/>
        </w:rPr>
        <w:t>a sancionatoria.</w:t>
      </w:r>
    </w:p>
    <w:p w14:paraId="693A18C2" w14:textId="1E7E2473" w:rsidR="003C0FD2" w:rsidRDefault="003C0FD2" w:rsidP="00977DC9">
      <w:pPr>
        <w:spacing w:line="360" w:lineRule="auto"/>
        <w:jc w:val="both"/>
        <w:rPr>
          <w:rFonts w:ascii="gobCL" w:hAnsi="gobCL"/>
          <w:sz w:val="20"/>
          <w:szCs w:val="20"/>
          <w:lang w:val="es-ES"/>
        </w:rPr>
      </w:pPr>
      <w:r>
        <w:rPr>
          <w:rFonts w:ascii="gobCL" w:hAnsi="gobCL"/>
          <w:sz w:val="20"/>
          <w:szCs w:val="20"/>
          <w:lang w:val="es-ES"/>
        </w:rPr>
        <w:t xml:space="preserve">Adicional a lo anterior ante casos que causen alarma o bien ante situaciones reiteradas, las oficinas regiones de esta SISS efectúan fiscalizaciones particulares y en los casos que corresponde que correspondan se podrán iniciar los procesos sancionatorios correspondientes. </w:t>
      </w:r>
    </w:p>
    <w:p w14:paraId="02AFE4E5" w14:textId="77777777" w:rsidR="00234E93" w:rsidRDefault="00234E93" w:rsidP="00977DC9">
      <w:pPr>
        <w:spacing w:line="360" w:lineRule="auto"/>
        <w:jc w:val="both"/>
        <w:rPr>
          <w:rFonts w:ascii="gobCL" w:hAnsi="gobCL"/>
          <w:sz w:val="20"/>
          <w:szCs w:val="20"/>
          <w:lang w:val="es-ES"/>
        </w:rPr>
      </w:pPr>
    </w:p>
    <w:p w14:paraId="33A9BE07" w14:textId="6B916F82" w:rsidR="009B5E2C" w:rsidRDefault="009B5E2C" w:rsidP="009B5E2C">
      <w:pPr>
        <w:tabs>
          <w:tab w:val="left" w:pos="1134"/>
        </w:tabs>
        <w:spacing w:line="360" w:lineRule="auto"/>
        <w:jc w:val="both"/>
        <w:rPr>
          <w:rFonts w:ascii="gobCL" w:hAnsi="gobCL"/>
          <w:szCs w:val="22"/>
          <w:lang w:val="es-ES"/>
        </w:rPr>
      </w:pPr>
      <w:r w:rsidRPr="009B5E2C">
        <w:rPr>
          <w:rFonts w:ascii="gobCL" w:hAnsi="gobCL"/>
          <w:b/>
          <w:bCs/>
          <w:szCs w:val="22"/>
          <w:lang w:val="es-ES"/>
        </w:rPr>
        <w:t>Se incluye la información de</w:t>
      </w:r>
      <w:r>
        <w:rPr>
          <w:rFonts w:ascii="gobCL" w:hAnsi="gobCL"/>
          <w:b/>
          <w:bCs/>
          <w:szCs w:val="22"/>
          <w:lang w:val="es-ES"/>
        </w:rPr>
        <w:t xml:space="preserve"> Fiscalizaciones in</w:t>
      </w:r>
      <w:r w:rsidR="00A83A5B">
        <w:rPr>
          <w:rFonts w:ascii="gobCL" w:hAnsi="gobCL"/>
          <w:b/>
          <w:bCs/>
          <w:szCs w:val="22"/>
          <w:lang w:val="es-ES"/>
        </w:rPr>
        <w:t>i</w:t>
      </w:r>
      <w:r>
        <w:rPr>
          <w:rFonts w:ascii="gobCL" w:hAnsi="gobCL"/>
          <w:b/>
          <w:bCs/>
          <w:szCs w:val="22"/>
          <w:lang w:val="es-ES"/>
        </w:rPr>
        <w:t>ci</w:t>
      </w:r>
      <w:r w:rsidR="00410CAA">
        <w:rPr>
          <w:rFonts w:ascii="gobCL" w:hAnsi="gobCL"/>
          <w:b/>
          <w:bCs/>
          <w:szCs w:val="22"/>
          <w:lang w:val="es-ES"/>
        </w:rPr>
        <w:t>a</w:t>
      </w:r>
      <w:r>
        <w:rPr>
          <w:rFonts w:ascii="gobCL" w:hAnsi="gobCL"/>
          <w:b/>
          <w:bCs/>
          <w:szCs w:val="22"/>
          <w:lang w:val="es-ES"/>
        </w:rPr>
        <w:t xml:space="preserve">das en el primer trimestre de 2023, </w:t>
      </w:r>
      <w:r w:rsidRPr="009B5E2C">
        <w:rPr>
          <w:rFonts w:ascii="gobCL" w:hAnsi="gobCL"/>
          <w:b/>
          <w:bCs/>
          <w:szCs w:val="22"/>
          <w:u w:val="single"/>
          <w:lang w:val="es-ES"/>
        </w:rPr>
        <w:t>en Anexo 2</w:t>
      </w:r>
      <w:r>
        <w:rPr>
          <w:rFonts w:ascii="gobCL" w:hAnsi="gobCL"/>
          <w:b/>
          <w:bCs/>
          <w:szCs w:val="22"/>
          <w:lang w:val="es-ES"/>
        </w:rPr>
        <w:t>.</w:t>
      </w:r>
    </w:p>
    <w:p w14:paraId="502B8706" w14:textId="30E7D91B" w:rsidR="00832E48" w:rsidRDefault="00832E48" w:rsidP="00977DC9">
      <w:pPr>
        <w:spacing w:line="360" w:lineRule="auto"/>
        <w:jc w:val="both"/>
        <w:rPr>
          <w:rFonts w:ascii="gobCL" w:hAnsi="gobCL"/>
          <w:sz w:val="20"/>
          <w:szCs w:val="20"/>
          <w:lang w:val="es-ES"/>
        </w:rPr>
      </w:pPr>
    </w:p>
    <w:p w14:paraId="4980B82D" w14:textId="77777777" w:rsidR="00832E48" w:rsidRPr="00AD6B57" w:rsidRDefault="00832E48" w:rsidP="00977DC9">
      <w:pPr>
        <w:spacing w:line="360" w:lineRule="auto"/>
        <w:jc w:val="both"/>
        <w:rPr>
          <w:rFonts w:ascii="gobCL" w:hAnsi="gobCL"/>
          <w:sz w:val="20"/>
          <w:szCs w:val="20"/>
          <w:lang w:val="es-ES"/>
        </w:rPr>
      </w:pPr>
    </w:p>
    <w:p w14:paraId="5DBE37B1" w14:textId="3CB90F63" w:rsidR="006B28E8" w:rsidRPr="00AD6B57" w:rsidRDefault="006B28E8" w:rsidP="00977DC9">
      <w:pPr>
        <w:spacing w:line="360" w:lineRule="auto"/>
        <w:jc w:val="both"/>
        <w:rPr>
          <w:rFonts w:ascii="gobCL" w:hAnsi="gobCL"/>
          <w:sz w:val="20"/>
          <w:szCs w:val="20"/>
          <w:lang w:val="es-ES"/>
        </w:rPr>
      </w:pPr>
      <w:r w:rsidRPr="00AD6B57">
        <w:rPr>
          <w:rFonts w:ascii="gobCL" w:hAnsi="gobCL"/>
          <w:noProof/>
          <w:sz w:val="20"/>
          <w:szCs w:val="20"/>
          <w:lang w:val="es-ES"/>
        </w:rPr>
        <mc:AlternateContent>
          <mc:Choice Requires="wps">
            <w:drawing>
              <wp:anchor distT="0" distB="0" distL="114300" distR="114300" simplePos="0" relativeHeight="251674624" behindDoc="0" locked="0" layoutInCell="1" allowOverlap="1" wp14:anchorId="7706A921" wp14:editId="02FF2F31">
                <wp:simplePos x="0" y="0"/>
                <wp:positionH relativeFrom="margin">
                  <wp:align>left</wp:align>
                </wp:positionH>
                <wp:positionV relativeFrom="paragraph">
                  <wp:posOffset>78105</wp:posOffset>
                </wp:positionV>
                <wp:extent cx="5716905" cy="3429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5716905" cy="342900"/>
                        </a:xfrm>
                        <a:prstGeom prst="rect">
                          <a:avLst/>
                        </a:prstGeom>
                        <a:solidFill>
                          <a:srgbClr val="008BD4">
                            <a:alpha val="19606"/>
                          </a:srgbClr>
                        </a:solidFill>
                        <a:ln w="6350">
                          <a:noFill/>
                        </a:ln>
                      </wps:spPr>
                      <wps:txbx>
                        <w:txbxContent>
                          <w:p w14:paraId="6F70FDDC" w14:textId="2421F7AD" w:rsidR="006B28E8" w:rsidRPr="005D4AF9" w:rsidRDefault="00AD6B57" w:rsidP="006B28E8">
                            <w:pPr>
                              <w:rPr>
                                <w:rFonts w:ascii="gobCL" w:hAnsi="gobCL"/>
                                <w:color w:val="008BD4"/>
                              </w:rPr>
                            </w:pPr>
                            <w:r w:rsidRPr="00AD6B57">
                              <w:rPr>
                                <w:rFonts w:ascii="gobCL" w:hAnsi="gobCL"/>
                                <w:color w:val="008BD4"/>
                                <w:szCs w:val="22"/>
                                <w:lang w:val="es-ES"/>
                              </w:rPr>
                              <w:t>7.</w:t>
                            </w:r>
                            <w:r w:rsidRPr="00AD6B57">
                              <w:rPr>
                                <w:rFonts w:ascii="gobCL" w:hAnsi="gobCL"/>
                                <w:color w:val="008BD4"/>
                                <w:szCs w:val="22"/>
                                <w:lang w:val="es-ES"/>
                              </w:rPr>
                              <w:tab/>
                              <w:t>Sanciones aplicadas por este servicio debido a roturas de matriz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6A921" id="Cuadro de texto 20" o:spid="_x0000_s1033" type="#_x0000_t202" style="position:absolute;left:0;text-align:left;margin-left:0;margin-top:6.15pt;width:450.15pt;height: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" fillcolor="#008bd4" stroked="f" strokeweight=".5pt">
                <v:fill opacity="12850f"/>
                <v:textbox>
                  <w:txbxContent>
                    <w:p w14:paraId="6F70FDDC" w14:textId="2421F7AD" w:rsidR="006B28E8" w:rsidRPr="005D4AF9" w:rsidRDefault="00AD6B57" w:rsidP="006B28E8">
                      <w:pPr>
                        <w:rPr>
                          <w:rFonts w:ascii="gobCL" w:hAnsi="gobCL"/>
                          <w:color w:val="008BD4"/>
                        </w:rPr>
                      </w:pPr>
                      <w:r w:rsidRPr="00AD6B57">
                        <w:rPr>
                          <w:rFonts w:ascii="gobCL" w:hAnsi="gobCL"/>
                          <w:color w:val="008BD4"/>
                          <w:szCs w:val="22"/>
                          <w:lang w:val="es-ES"/>
                        </w:rPr>
                        <w:t>7.</w:t>
                      </w:r>
                      <w:r w:rsidRPr="00AD6B57">
                        <w:rPr>
                          <w:rFonts w:ascii="gobCL" w:hAnsi="gobCL"/>
                          <w:color w:val="008BD4"/>
                          <w:szCs w:val="22"/>
                          <w:lang w:val="es-ES"/>
                        </w:rPr>
                        <w:tab/>
                        <w:t>Sanciones aplicadas por este servicio debido a roturas de matriz</w:t>
                      </w:r>
                    </w:p>
                  </w:txbxContent>
                </v:textbox>
                <w10:wrap anchorx="margin"/>
              </v:shape>
            </w:pict>
          </mc:Fallback>
        </mc:AlternateContent>
      </w:r>
    </w:p>
    <w:p w14:paraId="38057691" w14:textId="6A26683E" w:rsidR="00B8178B" w:rsidRDefault="00B8178B" w:rsidP="00977DC9">
      <w:pPr>
        <w:spacing w:line="360" w:lineRule="auto"/>
        <w:jc w:val="both"/>
        <w:rPr>
          <w:rFonts w:ascii="gobCL" w:hAnsi="gobCL"/>
          <w:sz w:val="20"/>
          <w:szCs w:val="20"/>
          <w:lang w:val="es-ES"/>
        </w:rPr>
      </w:pPr>
    </w:p>
    <w:p w14:paraId="0002A4AC" w14:textId="77777777" w:rsidR="003C0FD2" w:rsidRDefault="003C0FD2" w:rsidP="00977DC9">
      <w:pPr>
        <w:spacing w:line="360" w:lineRule="auto"/>
        <w:jc w:val="both"/>
        <w:rPr>
          <w:rFonts w:ascii="gobCL" w:hAnsi="gobCL"/>
          <w:sz w:val="20"/>
          <w:szCs w:val="20"/>
          <w:lang w:val="es-ES"/>
        </w:rPr>
      </w:pPr>
      <w:r>
        <w:rPr>
          <w:rFonts w:ascii="gobCL" w:hAnsi="gobCL"/>
          <w:sz w:val="20"/>
          <w:szCs w:val="20"/>
          <w:lang w:val="es-ES"/>
        </w:rPr>
        <w:t>Similar a lo señalado en el punto anterior, de cada una de las revisiones semestrales que se desarrolle se podrán desarrollar procesos sancionatorios, los que serán informados trimestralmente a esa Corporación.</w:t>
      </w:r>
    </w:p>
    <w:p w14:paraId="55CC323D" w14:textId="1B6D3E7D" w:rsidR="003C0FD2" w:rsidRDefault="003C0FD2" w:rsidP="00977DC9">
      <w:pPr>
        <w:spacing w:line="360" w:lineRule="auto"/>
        <w:jc w:val="both"/>
        <w:rPr>
          <w:rFonts w:ascii="gobCL" w:hAnsi="gobCL"/>
          <w:sz w:val="20"/>
          <w:szCs w:val="20"/>
          <w:lang w:val="es-ES"/>
        </w:rPr>
      </w:pPr>
      <w:r>
        <w:rPr>
          <w:rFonts w:ascii="gobCL" w:hAnsi="gobCL"/>
          <w:sz w:val="20"/>
          <w:szCs w:val="20"/>
          <w:lang w:val="es-ES"/>
        </w:rPr>
        <w:t>De manera similar para aquellas fiscalizaciones</w:t>
      </w:r>
      <w:r w:rsidR="009E7B04">
        <w:rPr>
          <w:rFonts w:ascii="gobCL" w:hAnsi="gobCL"/>
          <w:sz w:val="20"/>
          <w:szCs w:val="20"/>
          <w:lang w:val="es-ES"/>
        </w:rPr>
        <w:t xml:space="preserve"> que desarrollen las oficinas regionales podrán existir procesos sancionatorios dependiendo de las características de cada caso. </w:t>
      </w:r>
      <w:r>
        <w:rPr>
          <w:rFonts w:ascii="gobCL" w:hAnsi="gobCL"/>
          <w:sz w:val="20"/>
          <w:szCs w:val="20"/>
          <w:lang w:val="es-ES"/>
        </w:rPr>
        <w:t xml:space="preserve">   </w:t>
      </w:r>
    </w:p>
    <w:p w14:paraId="7924327C" w14:textId="77777777" w:rsidR="009B5E2C" w:rsidRDefault="009B5E2C" w:rsidP="00977DC9">
      <w:pPr>
        <w:spacing w:line="360" w:lineRule="auto"/>
        <w:jc w:val="both"/>
        <w:rPr>
          <w:rFonts w:ascii="gobCL" w:hAnsi="gobCL"/>
          <w:sz w:val="20"/>
          <w:szCs w:val="20"/>
          <w:lang w:val="es-ES"/>
        </w:rPr>
      </w:pPr>
    </w:p>
    <w:p w14:paraId="7CB1AF10" w14:textId="40E82C7C" w:rsidR="009B5E2C" w:rsidRDefault="009B5E2C" w:rsidP="009B5E2C">
      <w:pPr>
        <w:tabs>
          <w:tab w:val="left" w:pos="1134"/>
        </w:tabs>
        <w:spacing w:line="360" w:lineRule="auto"/>
        <w:jc w:val="both"/>
        <w:rPr>
          <w:rFonts w:ascii="gobCL" w:hAnsi="gobCL"/>
          <w:szCs w:val="22"/>
          <w:lang w:val="es-ES"/>
        </w:rPr>
      </w:pPr>
      <w:r w:rsidRPr="009B5E2C">
        <w:rPr>
          <w:rFonts w:ascii="gobCL" w:hAnsi="gobCL"/>
          <w:b/>
          <w:bCs/>
          <w:szCs w:val="22"/>
          <w:lang w:val="es-ES"/>
        </w:rPr>
        <w:t>Se incluye la información de</w:t>
      </w:r>
      <w:r>
        <w:rPr>
          <w:rFonts w:ascii="gobCL" w:hAnsi="gobCL"/>
          <w:b/>
          <w:bCs/>
          <w:szCs w:val="22"/>
          <w:lang w:val="es-ES"/>
        </w:rPr>
        <w:t xml:space="preserve"> las Sanciones iniciadas en primer trimestre de 2023, </w:t>
      </w:r>
      <w:r w:rsidRPr="009B5E2C">
        <w:rPr>
          <w:rFonts w:ascii="gobCL" w:hAnsi="gobCL"/>
          <w:b/>
          <w:bCs/>
          <w:szCs w:val="22"/>
          <w:u w:val="single"/>
          <w:lang w:val="es-ES"/>
        </w:rPr>
        <w:t>en Anexo 3.</w:t>
      </w:r>
    </w:p>
    <w:p w14:paraId="23ECA34D" w14:textId="77777777" w:rsidR="003C0FD2" w:rsidRDefault="003C0FD2" w:rsidP="00977DC9">
      <w:pPr>
        <w:spacing w:line="360" w:lineRule="auto"/>
        <w:jc w:val="both"/>
        <w:rPr>
          <w:rFonts w:ascii="gobCL" w:hAnsi="gobCL"/>
          <w:sz w:val="20"/>
          <w:szCs w:val="20"/>
          <w:lang w:val="es-ES"/>
        </w:rPr>
      </w:pPr>
    </w:p>
    <w:p w14:paraId="2A8B4E09" w14:textId="77777777" w:rsidR="009B5E2C" w:rsidRDefault="009B5E2C" w:rsidP="00977DC9">
      <w:pPr>
        <w:spacing w:line="360" w:lineRule="auto"/>
        <w:jc w:val="both"/>
        <w:rPr>
          <w:rFonts w:ascii="gobCL" w:hAnsi="gobCL"/>
          <w:sz w:val="20"/>
          <w:szCs w:val="20"/>
          <w:lang w:val="es-ES"/>
        </w:rPr>
      </w:pPr>
    </w:p>
    <w:p w14:paraId="259494B3" w14:textId="39B036EB" w:rsidR="00B8178B" w:rsidRPr="00AD6B57" w:rsidRDefault="00AD7546" w:rsidP="00977DC9">
      <w:pPr>
        <w:spacing w:line="360" w:lineRule="auto"/>
        <w:jc w:val="both"/>
        <w:rPr>
          <w:rFonts w:ascii="gobCL" w:hAnsi="gobCL"/>
          <w:sz w:val="20"/>
          <w:szCs w:val="20"/>
          <w:lang w:val="es-ES"/>
        </w:rPr>
      </w:pPr>
      <w:r>
        <w:rPr>
          <w:rFonts w:ascii="gobCL" w:hAnsi="gobCL"/>
          <w:sz w:val="20"/>
          <w:szCs w:val="20"/>
          <w:lang w:val="es-ES"/>
        </w:rPr>
        <w:t>RPB/MTE</w:t>
      </w:r>
    </w:p>
    <w:sectPr w:rsidR="00B8178B" w:rsidRPr="00AD6B57" w:rsidSect="00750799">
      <w:headerReference w:type="default" r:id="rId9"/>
      <w:headerReference w:type="first" r:id="rId10"/>
      <w:pgSz w:w="12240" w:h="15840"/>
      <w:pgMar w:top="1997" w:right="1701" w:bottom="1417" w:left="1701" w:header="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73D7" w14:textId="77777777" w:rsidR="00CF1A0D" w:rsidRDefault="00CF1A0D" w:rsidP="00F83737">
      <w:r>
        <w:separator/>
      </w:r>
    </w:p>
  </w:endnote>
  <w:endnote w:type="continuationSeparator" w:id="0">
    <w:p w14:paraId="43E6F684" w14:textId="77777777" w:rsidR="00CF1A0D" w:rsidRDefault="00CF1A0D" w:rsidP="00F8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B4CA9" w14:textId="77777777" w:rsidR="00CF1A0D" w:rsidRDefault="00CF1A0D" w:rsidP="00F83737">
      <w:r>
        <w:separator/>
      </w:r>
    </w:p>
  </w:footnote>
  <w:footnote w:type="continuationSeparator" w:id="0">
    <w:p w14:paraId="776F889D" w14:textId="77777777" w:rsidR="00CF1A0D" w:rsidRDefault="00CF1A0D" w:rsidP="00F83737">
      <w:r>
        <w:continuationSeparator/>
      </w:r>
    </w:p>
  </w:footnote>
  <w:footnote w:id="1">
    <w:p w14:paraId="029CB586" w14:textId="0D6548FD" w:rsidR="00C200AD" w:rsidRPr="00AD6B57" w:rsidRDefault="00C200AD">
      <w:pPr>
        <w:pStyle w:val="Textonotapie"/>
        <w:rPr>
          <w:rFonts w:ascii="gobCL" w:hAnsi="gobCL"/>
          <w:sz w:val="18"/>
          <w:szCs w:val="18"/>
          <w:lang w:val="es-MX"/>
        </w:rPr>
      </w:pPr>
      <w:r w:rsidRPr="00AD6B57">
        <w:rPr>
          <w:rStyle w:val="Refdenotaalpie"/>
          <w:rFonts w:ascii="gobCL" w:hAnsi="gobCL"/>
          <w:sz w:val="18"/>
          <w:szCs w:val="18"/>
        </w:rPr>
        <w:footnoteRef/>
      </w:r>
      <w:r w:rsidRPr="00AD6B57">
        <w:rPr>
          <w:rFonts w:ascii="gobCL" w:hAnsi="gobCL"/>
          <w:sz w:val="18"/>
          <w:szCs w:val="18"/>
        </w:rPr>
        <w:t xml:space="preserve"> Lo resaltado ha sido destacado por esta parte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FFA" w14:textId="3FFCD30E" w:rsidR="00F83737" w:rsidRDefault="00750799" w:rsidP="00750799">
    <w:pPr>
      <w:pStyle w:val="Encabezado"/>
      <w:ind w:left="-1134"/>
    </w:pPr>
    <w:r>
      <w:rPr>
        <w:noProof/>
      </w:rPr>
      <w:drawing>
        <wp:inline distT="0" distB="0" distL="0" distR="0" wp14:anchorId="613992F4" wp14:editId="2F599A99">
          <wp:extent cx="1172452" cy="161212"/>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dentificador-Gob-+-Logo-SiSS.png"/>
                  <pic:cNvPicPr/>
                </pic:nvPicPr>
                <pic:blipFill>
                  <a:blip r:embed="rId1">
                    <a:extLst>
                      <a:ext uri="{28A0092B-C50C-407E-A947-70E740481C1C}">
                        <a14:useLocalDpi xmlns:a14="http://schemas.microsoft.com/office/drawing/2010/main" val="0"/>
                      </a:ext>
                    </a:extLst>
                  </a:blip>
                  <a:stretch>
                    <a:fillRect/>
                  </a:stretch>
                </pic:blipFill>
                <pic:spPr>
                  <a:xfrm>
                    <a:off x="0" y="0"/>
                    <a:ext cx="1172452" cy="16121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B892" w14:textId="6CC067B1" w:rsidR="00750799" w:rsidRDefault="00750799" w:rsidP="00750799">
    <w:pPr>
      <w:pStyle w:val="Encabezado"/>
      <w:ind w:left="-1134"/>
    </w:pPr>
    <w:r>
      <w:rPr>
        <w:noProof/>
      </w:rPr>
      <w:drawing>
        <wp:inline distT="0" distB="0" distL="0" distR="0" wp14:anchorId="2C56EA16" wp14:editId="1D5F2057">
          <wp:extent cx="1172452" cy="104641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dentificador-Gob-+-Logo-SiSS.png"/>
                  <pic:cNvPicPr/>
                </pic:nvPicPr>
                <pic:blipFill>
                  <a:blip r:embed="rId1">
                    <a:extLst>
                      <a:ext uri="{28A0092B-C50C-407E-A947-70E740481C1C}">
                        <a14:useLocalDpi xmlns:a14="http://schemas.microsoft.com/office/drawing/2010/main" val="0"/>
                      </a:ext>
                    </a:extLst>
                  </a:blip>
                  <a:stretch>
                    <a:fillRect/>
                  </a:stretch>
                </pic:blipFill>
                <pic:spPr>
                  <a:xfrm>
                    <a:off x="0" y="0"/>
                    <a:ext cx="1172452" cy="1046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64F"/>
    <w:multiLevelType w:val="hybridMultilevel"/>
    <w:tmpl w:val="8DAC9A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64F3147"/>
    <w:multiLevelType w:val="hybridMultilevel"/>
    <w:tmpl w:val="3C666D3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B7F29F8"/>
    <w:multiLevelType w:val="hybridMultilevel"/>
    <w:tmpl w:val="7C847730"/>
    <w:lvl w:ilvl="0" w:tplc="1ADCEAF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81797547">
    <w:abstractNumId w:val="0"/>
  </w:num>
  <w:num w:numId="2" w16cid:durableId="1543248306">
    <w:abstractNumId w:val="2"/>
  </w:num>
  <w:num w:numId="3" w16cid:durableId="2122263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37"/>
    <w:rsid w:val="0001029C"/>
    <w:rsid w:val="000226D7"/>
    <w:rsid w:val="001B365E"/>
    <w:rsid w:val="002344DC"/>
    <w:rsid w:val="00234E93"/>
    <w:rsid w:val="00250F35"/>
    <w:rsid w:val="00253F23"/>
    <w:rsid w:val="00301F26"/>
    <w:rsid w:val="00340879"/>
    <w:rsid w:val="003432A1"/>
    <w:rsid w:val="00362E18"/>
    <w:rsid w:val="00364FB2"/>
    <w:rsid w:val="003C0FD2"/>
    <w:rsid w:val="00410CAA"/>
    <w:rsid w:val="00486F1D"/>
    <w:rsid w:val="005316D0"/>
    <w:rsid w:val="00550760"/>
    <w:rsid w:val="005B0C6E"/>
    <w:rsid w:val="005B40E4"/>
    <w:rsid w:val="005D4AF9"/>
    <w:rsid w:val="00602E25"/>
    <w:rsid w:val="006052B3"/>
    <w:rsid w:val="0062615E"/>
    <w:rsid w:val="00672F71"/>
    <w:rsid w:val="006B28E8"/>
    <w:rsid w:val="00750799"/>
    <w:rsid w:val="00796088"/>
    <w:rsid w:val="00832E48"/>
    <w:rsid w:val="008E1692"/>
    <w:rsid w:val="008E73C1"/>
    <w:rsid w:val="008F05BF"/>
    <w:rsid w:val="009328D1"/>
    <w:rsid w:val="00977DC9"/>
    <w:rsid w:val="00981149"/>
    <w:rsid w:val="009A4D37"/>
    <w:rsid w:val="009B5E2C"/>
    <w:rsid w:val="009E7B04"/>
    <w:rsid w:val="00A2206B"/>
    <w:rsid w:val="00A83A5B"/>
    <w:rsid w:val="00AD6B57"/>
    <w:rsid w:val="00AD7546"/>
    <w:rsid w:val="00AF3F3A"/>
    <w:rsid w:val="00B35011"/>
    <w:rsid w:val="00B5202B"/>
    <w:rsid w:val="00B8178B"/>
    <w:rsid w:val="00B83FAB"/>
    <w:rsid w:val="00B94091"/>
    <w:rsid w:val="00BA1938"/>
    <w:rsid w:val="00BC36A9"/>
    <w:rsid w:val="00C200AD"/>
    <w:rsid w:val="00C2338C"/>
    <w:rsid w:val="00C63194"/>
    <w:rsid w:val="00CF1A0D"/>
    <w:rsid w:val="00D22481"/>
    <w:rsid w:val="00D659FA"/>
    <w:rsid w:val="00DB3441"/>
    <w:rsid w:val="00E22037"/>
    <w:rsid w:val="00E80F91"/>
    <w:rsid w:val="00F128B4"/>
    <w:rsid w:val="00F228CA"/>
    <w:rsid w:val="00F307CA"/>
    <w:rsid w:val="00F83737"/>
    <w:rsid w:val="00FC0AA1"/>
    <w:rsid w:val="00FE64D4"/>
    <w:rsid w:val="00FF59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458E32"/>
  <w15:chartTrackingRefBased/>
  <w15:docId w15:val="{2D361C4F-EE08-9B4F-B255-5ACC63E0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2C"/>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3737"/>
    <w:pPr>
      <w:tabs>
        <w:tab w:val="center" w:pos="4419"/>
        <w:tab w:val="right" w:pos="8838"/>
      </w:tabs>
    </w:pPr>
  </w:style>
  <w:style w:type="character" w:customStyle="1" w:styleId="EncabezadoCar">
    <w:name w:val="Encabezado Car"/>
    <w:basedOn w:val="Fuentedeprrafopredeter"/>
    <w:link w:val="Encabezado"/>
    <w:uiPriority w:val="99"/>
    <w:rsid w:val="00F83737"/>
  </w:style>
  <w:style w:type="paragraph" w:styleId="Piedepgina">
    <w:name w:val="footer"/>
    <w:basedOn w:val="Normal"/>
    <w:link w:val="PiedepginaCar"/>
    <w:uiPriority w:val="99"/>
    <w:unhideWhenUsed/>
    <w:rsid w:val="00F83737"/>
    <w:pPr>
      <w:tabs>
        <w:tab w:val="center" w:pos="4419"/>
        <w:tab w:val="right" w:pos="8838"/>
      </w:tabs>
    </w:pPr>
  </w:style>
  <w:style w:type="character" w:customStyle="1" w:styleId="PiedepginaCar">
    <w:name w:val="Pie de página Car"/>
    <w:basedOn w:val="Fuentedeprrafopredeter"/>
    <w:link w:val="Piedepgina"/>
    <w:uiPriority w:val="99"/>
    <w:rsid w:val="00F83737"/>
  </w:style>
  <w:style w:type="paragraph" w:styleId="Prrafodelista">
    <w:name w:val="List Paragraph"/>
    <w:basedOn w:val="Normal"/>
    <w:uiPriority w:val="34"/>
    <w:qFormat/>
    <w:rsid w:val="00A2206B"/>
    <w:pPr>
      <w:ind w:left="720"/>
    </w:pPr>
    <w:rPr>
      <w:rFonts w:ascii="Calibri" w:eastAsia="Calibri" w:hAnsi="Calibri" w:cs="Calibri"/>
      <w:szCs w:val="22"/>
      <w:lang w:eastAsia="es-CL"/>
    </w:rPr>
  </w:style>
  <w:style w:type="paragraph" w:styleId="Textonotapie">
    <w:name w:val="footnote text"/>
    <w:basedOn w:val="Normal"/>
    <w:link w:val="TextonotapieCar"/>
    <w:uiPriority w:val="99"/>
    <w:semiHidden/>
    <w:unhideWhenUsed/>
    <w:rsid w:val="00C200AD"/>
    <w:rPr>
      <w:sz w:val="20"/>
      <w:szCs w:val="20"/>
    </w:rPr>
  </w:style>
  <w:style w:type="character" w:customStyle="1" w:styleId="TextonotapieCar">
    <w:name w:val="Texto nota pie Car"/>
    <w:basedOn w:val="Fuentedeprrafopredeter"/>
    <w:link w:val="Textonotapie"/>
    <w:uiPriority w:val="99"/>
    <w:semiHidden/>
    <w:rsid w:val="00C200AD"/>
    <w:rPr>
      <w:sz w:val="20"/>
      <w:szCs w:val="20"/>
    </w:rPr>
  </w:style>
  <w:style w:type="character" w:styleId="Refdenotaalpie">
    <w:name w:val="footnote reference"/>
    <w:basedOn w:val="Fuentedeprrafopredeter"/>
    <w:uiPriority w:val="99"/>
    <w:semiHidden/>
    <w:unhideWhenUsed/>
    <w:rsid w:val="00C200AD"/>
    <w:rPr>
      <w:vertAlign w:val="superscript"/>
    </w:rPr>
  </w:style>
  <w:style w:type="character" w:styleId="Refdecomentario">
    <w:name w:val="annotation reference"/>
    <w:basedOn w:val="Fuentedeprrafopredeter"/>
    <w:uiPriority w:val="99"/>
    <w:semiHidden/>
    <w:unhideWhenUsed/>
    <w:rsid w:val="003C0FD2"/>
    <w:rPr>
      <w:sz w:val="16"/>
      <w:szCs w:val="16"/>
    </w:rPr>
  </w:style>
  <w:style w:type="paragraph" w:styleId="Textocomentario">
    <w:name w:val="annotation text"/>
    <w:basedOn w:val="Normal"/>
    <w:link w:val="TextocomentarioCar"/>
    <w:uiPriority w:val="99"/>
    <w:unhideWhenUsed/>
    <w:rsid w:val="003C0FD2"/>
    <w:rPr>
      <w:sz w:val="20"/>
      <w:szCs w:val="20"/>
    </w:rPr>
  </w:style>
  <w:style w:type="character" w:customStyle="1" w:styleId="TextocomentarioCar">
    <w:name w:val="Texto comentario Car"/>
    <w:basedOn w:val="Fuentedeprrafopredeter"/>
    <w:link w:val="Textocomentario"/>
    <w:uiPriority w:val="99"/>
    <w:rsid w:val="003C0FD2"/>
    <w:rPr>
      <w:sz w:val="20"/>
      <w:szCs w:val="20"/>
    </w:rPr>
  </w:style>
  <w:style w:type="paragraph" w:styleId="Asuntodelcomentario">
    <w:name w:val="annotation subject"/>
    <w:basedOn w:val="Textocomentario"/>
    <w:next w:val="Textocomentario"/>
    <w:link w:val="AsuntodelcomentarioCar"/>
    <w:uiPriority w:val="99"/>
    <w:semiHidden/>
    <w:unhideWhenUsed/>
    <w:rsid w:val="003C0FD2"/>
    <w:rPr>
      <w:b/>
      <w:bCs/>
    </w:rPr>
  </w:style>
  <w:style w:type="character" w:customStyle="1" w:styleId="AsuntodelcomentarioCar">
    <w:name w:val="Asunto del comentario Car"/>
    <w:basedOn w:val="TextocomentarioCar"/>
    <w:link w:val="Asuntodelcomentario"/>
    <w:uiPriority w:val="99"/>
    <w:semiHidden/>
    <w:rsid w:val="003C0F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5553555E-7594-4249-B216-8FB5468E877D}"/>
</file>

<file path=customXml/itemProps2.xml><?xml version="1.0" encoding="utf-8"?>
<ds:datastoreItem xmlns:ds="http://schemas.openxmlformats.org/officeDocument/2006/customXml" ds:itemID="{68328327-F610-46B9-9961-42E6C590F70B}"/>
</file>

<file path=customXml/itemProps3.xml><?xml version="1.0" encoding="utf-8"?>
<ds:datastoreItem xmlns:ds="http://schemas.openxmlformats.org/officeDocument/2006/customXml" ds:itemID="{2C914997-635C-4331-AF3F-592569C1B7C8}"/>
</file>

<file path=customXml/itemProps4.xml><?xml version="1.0" encoding="utf-8"?>
<ds:datastoreItem xmlns:ds="http://schemas.openxmlformats.org/officeDocument/2006/customXml" ds:itemID="{9DFEEE4B-7653-40B9-B4AE-27A105932EBA}"/>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Baez</dc:creator>
  <cp:keywords/>
  <dc:description/>
  <cp:lastModifiedBy>Duarte C. Roberto</cp:lastModifiedBy>
  <cp:revision>2</cp:revision>
  <dcterms:created xsi:type="dcterms:W3CDTF">2023-04-13T21:25:00Z</dcterms:created>
  <dcterms:modified xsi:type="dcterms:W3CDTF">2023-04-13T21:25:00Z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