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start="0" w:end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start="0" w:end="0" w:hanging="0"/>
        <w:jc w:val="center"/>
        <w:rPr/>
      </w:pPr>
      <w:r>
        <w:rPr>
          <w:b/>
          <w:bCs/>
          <w:sz w:val="28"/>
          <w:szCs w:val="28"/>
        </w:rPr>
        <w:t>INDICADORES DE DESEMPEÑO AÑO 2022</w:t>
      </w:r>
    </w:p>
    <w:p>
      <w:pPr>
        <w:pStyle w:val="Normal"/>
        <w:bidi w:val="0"/>
        <w:ind w:start="0" w:end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4700" w:type="dxa"/>
        <w:jc w:val="start"/>
        <w:tblInd w:w="-70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1525"/>
        <w:gridCol w:w="9676"/>
        <w:gridCol w:w="1398"/>
        <w:gridCol w:w="2100"/>
      </w:tblGrid>
      <w:tr>
        <w:trPr/>
        <w:tc>
          <w:tcPr>
            <w:tcW w:w="15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/>
              <w:t>MINISTERIO</w:t>
            </w:r>
          </w:p>
        </w:tc>
        <w:tc>
          <w:tcPr>
            <w:tcW w:w="9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both"/>
              <w:rPr/>
            </w:pPr>
            <w:r>
              <w:rPr/>
              <w:t xml:space="preserve">MINISTERIO DE OBRAS PUBLICAS                                                     </w:t>
            </w:r>
          </w:p>
        </w:tc>
        <w:tc>
          <w:tcPr>
            <w:tcW w:w="13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/>
              <w:t>PARTIDA</w:t>
            </w:r>
          </w:p>
        </w:tc>
        <w:tc>
          <w:tcPr>
            <w:tcW w:w="2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15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/>
              <w:t>SERVICIO</w:t>
            </w:r>
          </w:p>
        </w:tc>
        <w:tc>
          <w:tcPr>
            <w:tcW w:w="9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both"/>
              <w:rPr/>
            </w:pPr>
            <w:r>
              <w:rPr/>
              <w:t xml:space="preserve">INSTITUTO NACIONAL DE HIDRAULICA </w:t>
            </w:r>
          </w:p>
        </w:tc>
        <w:tc>
          <w:tcPr>
            <w:tcW w:w="13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/>
              <w:t>CAPÍTULO</w:t>
            </w:r>
          </w:p>
        </w:tc>
        <w:tc>
          <w:tcPr>
            <w:tcW w:w="2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/>
              <w:t>05</w:t>
            </w:r>
          </w:p>
        </w:tc>
      </w:tr>
    </w:tbl>
    <w:p>
      <w:pPr>
        <w:pStyle w:val="Normal"/>
        <w:bidi w:val="0"/>
        <w:ind w:start="0" w:end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start="0" w:end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4748" w:type="dxa"/>
        <w:jc w:val="start"/>
        <w:tblInd w:w="-108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443"/>
        <w:gridCol w:w="3473"/>
        <w:gridCol w:w="2025"/>
        <w:gridCol w:w="1158"/>
        <w:gridCol w:w="1158"/>
        <w:gridCol w:w="1157"/>
        <w:gridCol w:w="1158"/>
        <w:gridCol w:w="1158"/>
        <w:gridCol w:w="1016"/>
      </w:tblGrid>
      <w:tr>
        <w:trPr/>
        <w:tc>
          <w:tcPr>
            <w:tcW w:w="24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Producto Estratégico al que se Vincula</w:t>
            </w:r>
          </w:p>
        </w:tc>
        <w:tc>
          <w:tcPr>
            <w:tcW w:w="34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20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Formula de Cálculo</w:t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Efectivo 2018</w:t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Efectivo 2019</w:t>
            </w:r>
          </w:p>
        </w:tc>
        <w:tc>
          <w:tcPr>
            <w:tcW w:w="11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Efectivo 2020</w:t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Efectivo a Junio 2021</w:t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Meta 2022</w:t>
            </w:r>
          </w:p>
        </w:tc>
        <w:tc>
          <w:tcPr>
            <w:tcW w:w="10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Notas</w:t>
            </w:r>
          </w:p>
        </w:tc>
      </w:tr>
      <w:tr>
        <w:trPr/>
        <w:tc>
          <w:tcPr>
            <w:tcW w:w="24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/>
              <w:t xml:space="preserve"> </w:t>
            </w:r>
            <w:r>
              <w:rPr>
                <w:rFonts w:eastAsia="Symbol" w:cs="Symbol" w:ascii="Symbol" w:hAnsi="Symbol"/>
              </w:rPr>
              <w:t>·</w:t>
            </w:r>
            <w:r>
              <w:rPr>
                <w:sz w:val="18"/>
                <w:szCs w:val="18"/>
              </w:rPr>
              <w:t xml:space="preserve">Estudios y Proyectos 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·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</w:tc>
        <w:tc>
          <w:tcPr>
            <w:tcW w:w="34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both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Eficiencia/Producto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sz w:val="18"/>
                <w:szCs w:val="18"/>
              </w:rPr>
              <w:t xml:space="preserve">1 Porcentaje de contratos que incluyen modelos físicos o matemáticos terminados por el INH en el año t, con relación al promedio de modelos físicos y matemáticos terminados en años t-1, t-2 y t-3        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sz w:val="18"/>
                <w:szCs w:val="18"/>
              </w:rPr>
              <w:t xml:space="preserve">                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sz w:val="18"/>
                <w:szCs w:val="18"/>
              </w:rPr>
              <w:t xml:space="preserve">           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sz w:val="12"/>
                <w:szCs w:val="12"/>
              </w:rPr>
              <w:t>Aplica Desagregación por Sexo: NO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t>Aplica Gestión Territorial: NO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0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(Número de Modelos físicos o matemáticos terminados por el INH en el año t/Promedio de modelos físicos y matemáticos terminados los años t-1; t-2 y t-3)*100</w:t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69 %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(3/4)*100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75 %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(3/4)*100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50 %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(2/4)*100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0 %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67  %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 xml:space="preserve">(2/3)*100 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0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18"/>
                <w:szCs w:val="18"/>
              </w:rPr>
              <w:t>1</w:t>
            </w:r>
          </w:p>
        </w:tc>
      </w:tr>
      <w:tr>
        <w:trPr/>
        <w:tc>
          <w:tcPr>
            <w:tcW w:w="24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rPr/>
            </w:pPr>
            <w:r>
              <w:rPr/>
              <w:t xml:space="preserve"> </w:t>
            </w:r>
            <w:r>
              <w:rPr>
                <w:rFonts w:eastAsia="Symbol" w:cs="Symbol" w:ascii="Symbol" w:hAnsi="Symbol"/>
              </w:rPr>
              <w:t>·</w:t>
            </w:r>
            <w:r>
              <w:rPr>
                <w:sz w:val="18"/>
                <w:szCs w:val="18"/>
              </w:rPr>
              <w:t xml:space="preserve">Estudios y Proyectos </w:t>
            </w:r>
          </w:p>
          <w:p>
            <w:pPr>
              <w:pStyle w:val="Normal"/>
              <w:bidi w:val="0"/>
              <w:ind w:start="0" w:end="0" w:hanging="0"/>
              <w:rPr/>
            </w:pPr>
            <w:r>
              <w:rPr/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bidi w:val="0"/>
              <w:ind w:start="0" w:end="0" w:hanging="0"/>
              <w:rPr/>
            </w:pPr>
            <w:r>
              <w:rPr>
                <w:rFonts w:eastAsia="Symbol" w:cs="Symbol" w:ascii="Symbol" w:hAnsi="Symbol"/>
              </w:rPr>
              <w:t>·</w:t>
            </w:r>
            <w:r>
              <w:rPr>
                <w:sz w:val="18"/>
                <w:szCs w:val="18"/>
              </w:rPr>
              <w:t xml:space="preserve">Mediciones de Campo y Calibraciones </w:t>
            </w:r>
          </w:p>
          <w:p>
            <w:pPr>
              <w:pStyle w:val="Normal"/>
              <w:bidi w:val="0"/>
              <w:ind w:start="0" w:end="0" w:hanging="0"/>
              <w:rPr/>
            </w:pP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·</w:t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</w:tc>
        <w:tc>
          <w:tcPr>
            <w:tcW w:w="34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both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Calidad/Producto</w:t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rPr/>
            </w:pPr>
            <w:r>
              <w:rPr>
                <w:sz w:val="18"/>
                <w:szCs w:val="18"/>
              </w:rPr>
              <w:t>2 Porcentaje de Clientes del INH que se declaran satisfechos con los servicios realizados en el año t    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bidi w:val="0"/>
              <w:ind w:start="0" w:end="0" w:hanging="0"/>
              <w:rPr/>
            </w:pPr>
            <w:r>
              <w:rPr>
                <w:sz w:val="12"/>
                <w:szCs w:val="12"/>
              </w:rPr>
              <w:t>Aplica Desagregación por Sexo: NO</w:t>
            </w:r>
          </w:p>
          <w:p>
            <w:pPr>
              <w:pStyle w:val="Normal"/>
              <w:bidi w:val="0"/>
              <w:ind w:start="0" w:end="0" w:hanging="0"/>
              <w:rPr/>
            </w:pPr>
            <w:r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t>Aplica Gestión Territorial: NO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0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(N° de clientes del INH que se declaran satisfechos con los servicios realizados en el año t/N° total de Usuarios encuestados en el año t)*100</w:t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93 %</w:t>
            </w:r>
          </w:p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(38/41)*100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97 %</w:t>
            </w:r>
          </w:p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(36/37)*100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100 %</w:t>
            </w:r>
          </w:p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(11/11)*100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0 %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91  %</w:t>
            </w:r>
          </w:p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 xml:space="preserve">(10/11)*100 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0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sz w:val="18"/>
                <w:szCs w:val="18"/>
              </w:rPr>
              <w:t>2</w:t>
            </w:r>
          </w:p>
        </w:tc>
      </w:tr>
      <w:tr>
        <w:trPr/>
        <w:tc>
          <w:tcPr>
            <w:tcW w:w="24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rPr/>
            </w:pPr>
            <w:r>
              <w:rPr/>
              <w:t xml:space="preserve"> </w:t>
            </w:r>
            <w:r>
              <w:rPr>
                <w:rFonts w:eastAsia="Symbol" w:cs="Symbol" w:ascii="Symbol" w:hAnsi="Symbol"/>
              </w:rPr>
              <w:t>·</w:t>
            </w:r>
            <w:r>
              <w:rPr>
                <w:sz w:val="18"/>
                <w:szCs w:val="18"/>
              </w:rPr>
              <w:t xml:space="preserve">Difusión del Conocimiento </w:t>
            </w:r>
          </w:p>
          <w:p>
            <w:pPr>
              <w:pStyle w:val="Normal"/>
              <w:bidi w:val="0"/>
              <w:ind w:start="0" w:end="0" w:hanging="0"/>
              <w:rPr/>
            </w:pP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·</w:t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</w:tc>
        <w:tc>
          <w:tcPr>
            <w:tcW w:w="34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both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Eficacia/Producto</w:t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rPr/>
            </w:pPr>
            <w:r>
              <w:rPr>
                <w:sz w:val="18"/>
                <w:szCs w:val="18"/>
              </w:rPr>
              <w:t>3 Porcentaje de exposiciones en instancias de intercambio científico en el ámbito nacional o internacional, en materias relacionadas con los productos y objetivos estratégicos del INH en el año t.   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bidi w:val="0"/>
              <w:ind w:start="0" w:end="0" w:hanging="0"/>
              <w:rPr/>
            </w:pPr>
            <w:r>
              <w:rPr>
                <w:sz w:val="12"/>
                <w:szCs w:val="12"/>
              </w:rPr>
              <w:t>Aplica Desagregación por Sexo: NO</w:t>
            </w:r>
          </w:p>
          <w:p>
            <w:pPr>
              <w:pStyle w:val="Normal"/>
              <w:bidi w:val="0"/>
              <w:ind w:start="0" w:end="0" w:hanging="0"/>
              <w:rPr/>
            </w:pPr>
            <w:r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t>Aplica Gestión Territorial: NO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0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(N° de exposiciones de intercambio científico en instancias nacionales e internacionales, realizadas por el INH en el año t/Total de exposiciones de intercambio científico programadas para el año t)*100</w:t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75 %</w:t>
            </w:r>
          </w:p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(3/4)*100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50 %</w:t>
            </w:r>
          </w:p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(2/4)*100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0 %</w:t>
            </w:r>
          </w:p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(0/0)*100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0 %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67  %</w:t>
            </w:r>
          </w:p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 xml:space="preserve">(2/3)*100 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0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sz w:val="18"/>
                <w:szCs w:val="18"/>
              </w:rPr>
              <w:t>3</w:t>
            </w:r>
          </w:p>
        </w:tc>
      </w:tr>
      <w:tr>
        <w:trPr/>
        <w:tc>
          <w:tcPr>
            <w:tcW w:w="24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rPr/>
            </w:pPr>
            <w:r>
              <w:rPr/>
              <w:t xml:space="preserve"> </w:t>
            </w:r>
            <w:r>
              <w:rPr>
                <w:rFonts w:eastAsia="Symbol" w:cs="Symbol" w:ascii="Symbol" w:hAnsi="Symbol"/>
              </w:rPr>
              <w:t>·</w:t>
            </w:r>
            <w:r>
              <w:rPr>
                <w:sz w:val="18"/>
                <w:szCs w:val="18"/>
              </w:rPr>
              <w:t xml:space="preserve">Mediciones de Campo y Calibraciones </w:t>
            </w:r>
          </w:p>
          <w:p>
            <w:pPr>
              <w:pStyle w:val="Normal"/>
              <w:bidi w:val="0"/>
              <w:ind w:start="0" w:end="0" w:hanging="0"/>
              <w:rPr/>
            </w:pP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·</w:t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</w:tc>
        <w:tc>
          <w:tcPr>
            <w:tcW w:w="34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both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Calidad/Producto</w:t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rPr/>
            </w:pPr>
            <w:r>
              <w:rPr>
                <w:sz w:val="18"/>
                <w:szCs w:val="18"/>
              </w:rPr>
              <w:t>4 Porcentaje de calibraciones realizadas en un plazo de 9 días hábiles, respecto del total de calibraciones realizadas durante  el año t.      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bidi w:val="0"/>
              <w:ind w:start="0" w:end="0" w:hanging="0"/>
              <w:rPr/>
            </w:pPr>
            <w:r>
              <w:rPr>
                <w:sz w:val="12"/>
                <w:szCs w:val="12"/>
              </w:rPr>
              <w:t>Aplica Desagregación por Sexo: NO</w:t>
            </w:r>
          </w:p>
          <w:p>
            <w:pPr>
              <w:pStyle w:val="Normal"/>
              <w:bidi w:val="0"/>
              <w:ind w:start="0" w:end="0" w:hanging="0"/>
              <w:rPr/>
            </w:pPr>
            <w:r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t>Aplica Gestión Territorial: NO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0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(N° de calibraciones realizadas en un plazo de 9 días hábiles durante el año t/N° total de calibraciones realizadas durante el año t)*100</w:t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98 %</w:t>
            </w:r>
          </w:p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(57/58)*100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100 %</w:t>
            </w:r>
          </w:p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(41/41)*100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100 %</w:t>
            </w:r>
          </w:p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(8/8)*100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0 %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90  %</w:t>
            </w:r>
          </w:p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 xml:space="preserve">(18/20)*100 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0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sz w:val="18"/>
                <w:szCs w:val="18"/>
              </w:rPr>
              <w:t>4</w:t>
            </w:r>
          </w:p>
        </w:tc>
      </w:tr>
    </w:tbl>
    <w:p>
      <w:pPr>
        <w:pStyle w:val="Normal"/>
        <w:bidi w:val="0"/>
        <w:ind w:start="0" w:end="0" w:hanging="0"/>
        <w:jc w:val="both"/>
        <w:rPr/>
      </w:pPr>
      <w:r>
        <w:rPr/>
        <w:t xml:space="preserve"> </w:t>
      </w:r>
    </w:p>
    <w:p>
      <w:pPr>
        <w:pStyle w:val="Normal"/>
        <w:bidi w:val="0"/>
        <w:ind w:start="0" w:end="0" w:hanging="0"/>
        <w:jc w:val="both"/>
        <w:rPr/>
      </w:pPr>
      <w:r>
        <w:rPr>
          <w:sz w:val="18"/>
        </w:rPr>
        <w:t xml:space="preserve">Notas: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1  Con la Resolución de Aprueba Contrato o Convenio se inicia formalmente la realización del estudio del modelo físico o matemático, visado por ambas partes (mandante y desarrollador).  Con la entrega del informe del modelo físico /matemático al mandante y la posterior emisión de la factura a nombre del INH, se da por terminado y aprobado el estudio y/o proyecto. Para esta medición se incluyen aquellos estudios realizados por las Unidades de la División Técnica:  Unidad de Ingeniería y Desarrollo, la Unidad de Operaciones, Unidad e Modelación Física y/o Unidad I+D+i. Se entiende por período T el que abarca desde el 1 de enero al 31 de diciembre. Se entiende por Contrato o Convenio al acto administrativo (Resolución Exenta INH) que aprueba relación de cooperación o relación contractual entre el INH y un mandante (público o privado), para el desarrollo de un trabajo, estudio, investigación o proyecto. Un modelo físico es una representación a escala de una condición de flujo hidráulica. Generalmente se utilizan para optimizar una estructura de ingeniería en la etapa de diseño y para garantizar una segura operación de ésta. Modelo numérico o matemático, es un programa de computador que permite resolver las ecuaciones de la mecánica de fluidos para estudiar una condición hidráulica. Los modelos numéricos deben ser calibrados y validados a partir de datos experimentales o de campo.    </w:t>
        <w:tab/>
        <w:t xml:space="preserve">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</w:p>
    <w:p>
      <w:pPr>
        <w:pStyle w:val="Normal"/>
        <w:bidi w:val="0"/>
        <w:ind w:start="360" w:end="0" w:hanging="0"/>
        <w:jc w:val="both"/>
        <w:rPr>
          <w:rFonts w:ascii="Times New Roman" w:hAnsi="Times New Roman"/>
          <w:sz w:val="18"/>
        </w:rPr>
      </w:pPr>
      <w:r>
        <w:rPr>
          <w:sz w:val="18"/>
        </w:rPr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2  Indicador se refiere a clientes de servicios de calibración de instrumentos, mediciones de campo, estudios y proyectos. Se entenderá por cliente satisfecho aquellos que en una escala de percepción de 1 a 5 (escala de Likert), donde 1 es muy insatisfecho y 5 muy satisfecho, manifiesten un resultado mayor o igual a 4 (satisfecho). El universo del indicador será el número total de encuestas respondidas, en donde se incluyen a clientes (entidades Públicas y Privadas) a los cuales se les realizó o realizan servicios entre el 1 de enero y el 31 de octubre del año t (ciclo de medición). La aplicación de la encuesta puede ser realizada por profesionales INH o por una empresa externa, en función de la disponibilidad presupuestaria del Servicio.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  <w:r>
        <w:rPr>
          <w:sz w:val="18"/>
        </w:rPr>
        <w:t xml:space="preserve">Los resultados de la encuesta (medio de verificación) quedarán plasmados en un informe final que contendrá las encuestas respondidas por los Clientes, en donde se consignarán los resultados a más tardar el último trimestre del año t. Dicho informe deberá ser aprobado por la unidad de auditoría interna INH y/o la jefatura superior del servicio.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</w:p>
    <w:p>
      <w:pPr>
        <w:pStyle w:val="Normal"/>
        <w:bidi w:val="0"/>
        <w:ind w:start="360" w:end="0" w:hanging="0"/>
        <w:jc w:val="both"/>
        <w:rPr>
          <w:rFonts w:ascii="Times New Roman" w:hAnsi="Times New Roman"/>
          <w:sz w:val="18"/>
        </w:rPr>
      </w:pPr>
      <w:r>
        <w:rPr>
          <w:sz w:val="18"/>
        </w:rPr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>3  El Programa Anual de Exposiciones en instancias científicas será aprobado mediante Resolución Exenta del INH. Las materias a tratar en estas exposiciones podrán corresponder a hidráulica marítima costera y puertos, hidráulica de ríos, infraestructura hidráulica, hidrología, eco hidráulica o materias afines al quehacer del INH. Se entenderá por instancias de intercambio científico a congresos, seminarios, cursos, talleres y/o charlas que tengan por objetivo poner a disposición conocimiento en las materias ya especificadas.  La modalidad de las exposiciones podrá ser presencial o por videoconferencia.Las exposiciones serán realizadas por 1 o más expertos investigadores del INH.</w:t>
      </w:r>
    </w:p>
    <w:p>
      <w:pPr>
        <w:pStyle w:val="Normal"/>
        <w:bidi w:val="0"/>
        <w:ind w:start="360" w:end="0" w:hanging="0"/>
        <w:jc w:val="both"/>
        <w:rPr>
          <w:rFonts w:ascii="Times New Roman" w:hAnsi="Times New Roman"/>
          <w:sz w:val="18"/>
        </w:rPr>
      </w:pPr>
      <w:r>
        <w:rPr>
          <w:sz w:val="18"/>
        </w:rPr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4  El objetivo de este indicador es medir el porcentaje de calibraciones, internas y externas, realizadas en un plazo máximo de 9 días hábiles. El alcance es realizar calibraciones de equipos medidores de flujo de líquidos. El plazo rige a partir del día hábil siguiente, al cumplimiento de las siguientes condiciones para los clientes externos: 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  <w:r>
        <w:rPr>
          <w:sz w:val="18"/>
        </w:rPr>
        <w:t xml:space="preserve">A. Respetar la programación establecida en la cotización/orden de trabajo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  <w:r>
        <w:rPr>
          <w:sz w:val="18"/>
        </w:rPr>
        <w:t xml:space="preserve">B. Recepción física de los equipos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  <w:r>
        <w:rPr>
          <w:sz w:val="18"/>
        </w:rPr>
        <w:t xml:space="preserve">C. Pago del servicio de calibraciones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  <w:r>
        <w:rPr>
          <w:sz w:val="18"/>
        </w:rPr>
        <w:t xml:space="preserve">En el caso de los clientes internos: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  <w:r>
        <w:rPr>
          <w:sz w:val="18"/>
        </w:rPr>
        <w:t xml:space="preserve">A. La recepción de correo electrónico solicitando el servicio o fecha programada para realizar la calibración interna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  <w:r>
        <w:rPr>
          <w:sz w:val="18"/>
        </w:rPr>
        <w:t xml:space="preserve">B. Recepción física de los equipos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  <w:r>
        <w:rPr>
          <w:sz w:val="18"/>
        </w:rPr>
        <w:t xml:space="preserve">Con estas condiciones se da por iniciado el trabajo y la fecha de término corresponde al despacho de los Certificados de Calibración entregado al cliente vía electrónica o física.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  <w:r>
        <w:rPr>
          <w:sz w:val="18"/>
        </w:rPr>
        <w:t xml:space="preserve">El informe trimestral detallará para cada servicio externo los siguientes antecedentes: 1. Número de orden de trabajo, 2. Número de factura, 3. Cantidad de equipos calibrados, 4. Fecha programada para realizar el servicio, establecida en la cotización / orden de trabajo, 5. Fecha de Recepción física de los equipos, 6. Fecha de Pago del servicio de calibraciones, 7. Fecha de despacho vía electrónica o física y 8. Tiempo de respuesta en días hábiles; y en el caso de los clientes internos se aplican los números 1, 3, 4, 5, 7 y 8.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</w:p>
    <w:p>
      <w:pPr>
        <w:pStyle w:val="Normal"/>
        <w:bidi w:val="0"/>
        <w:ind w:start="360" w:end="0" w:hanging="0"/>
        <w:jc w:val="both"/>
        <w:rPr>
          <w:rFonts w:ascii="Times New Roman" w:hAnsi="Times New Roman"/>
          <w:sz w:val="18"/>
        </w:rPr>
      </w:pPr>
      <w:r>
        <w:rPr>
          <w:sz w:val="18"/>
        </w:rPr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18"/>
        </w:rPr>
      </w:pPr>
      <w:r>
        <w:rPr>
          <w:sz w:val="18"/>
        </w:rPr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18"/>
        </w:rPr>
      </w:pPr>
      <w:r>
        <w:rPr>
          <w:sz w:val="18"/>
        </w:rPr>
      </w:r>
    </w:p>
    <w:p>
      <w:pPr>
        <w:pStyle w:val="Normal"/>
        <w:bidi w:val="0"/>
        <w:ind w:start="0" w:end="0" w:hanging="0"/>
        <w:jc w:val="both"/>
        <w:rPr/>
      </w:pPr>
      <w:r>
        <w:rPr/>
        <w:t xml:space="preserve"> 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ind w:start="0" w:end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5840" w:h="12240"/>
      <w:pgMar w:left="600" w:right="600" w:header="708" w:top="765" w:footer="708" w:bottom="76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Cambria"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 New Roman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tabs>
        <w:tab w:val="center" w:pos="4320" w:leader="none"/>
        <w:tab w:val="right" w:pos="8640" w:leader="none"/>
      </w:tabs>
      <w:bidi w:val="0"/>
      <w:ind w:start="0" w:end="360" w:hanging="0"/>
      <w:jc w:val="start"/>
      <w:textAlignment w:val="auto"/>
      <w:rPr>
        <w:rFonts w:ascii="Times New Roman" w:hAnsi="Times New Roman" w:cs="Times New Roman"/>
        <w:sz w:val="24"/>
        <w:szCs w:val="24"/>
        <w:lang w:val="es-ES" w:eastAsia="es-ES" w:bidi="ar-SA"/>
      </w:rPr>
    </w:pPr>
    <w:r>
      <w:rPr>
        <w:rFonts w:cs="Times New Roman"/>
        <w:sz w:val="24"/>
        <w:szCs w:val="24"/>
        <w:lang w:val="es-ES" w:eastAsia="es-ES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widowControl/>
                            <w:pBdr/>
                            <w:tabs>
                              <w:tab w:val="center" w:pos="4320" w:leader="none"/>
                              <w:tab w:val="right" w:pos="8640" w:leader="none"/>
                            </w:tabs>
                            <w:bidi w:val="0"/>
                            <w:ind w:start="0" w:end="0" w:hanging="0"/>
                            <w:jc w:val="star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en-US" w:eastAsia="en-US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Times New Roman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Times New Roman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Times New Roman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pt;mso-position-vertical-relative:text;margin-left:725.9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widowControl/>
                      <w:pBdr/>
                      <w:tabs>
                        <w:tab w:val="center" w:pos="4320" w:leader="none"/>
                        <w:tab w:val="right" w:pos="8640" w:leader="none"/>
                      </w:tabs>
                      <w:bidi w:val="0"/>
                      <w:ind w:start="0" w:end="0" w:hanging="0"/>
                      <w:jc w:val="start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en-US" w:eastAsia="en-US" w:bidi="ar-SA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  <w:rFonts w:cs="Times New Roman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szCs w:val="24"/>
                        <w:rFonts w:cs="Times New Roman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  <w:rFonts w:cs="Times New Roman"/>
                      </w:rPr>
                      <w:t>3</w:t>
                    </w:r>
                    <w:r>
                      <w:rPr>
                        <w:rStyle w:val="Pagenumber"/>
                        <w:sz w:val="24"/>
                        <w:szCs w:val="24"/>
                        <w:rFonts w:cs="Times New Roman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/>
      <w:tabs>
        <w:tab w:val="center" w:pos="4320" w:leader="none"/>
        <w:tab w:val="right" w:pos="8640" w:leader="none"/>
      </w:tabs>
      <w:bidi w:val="0"/>
      <w:ind w:start="0" w:end="0" w:hanging="0"/>
      <w:jc w:val="start"/>
      <w:textAlignment w:val="auto"/>
      <w:rPr>
        <w:rFonts w:ascii="Times New Roman" w:hAnsi="Times New Roman" w:cs="Times New Roman"/>
        <w:sz w:val="24"/>
        <w:szCs w:val="24"/>
        <w:lang w:val="es-ES" w:eastAsia="es-ES" w:bidi="ar-SA"/>
      </w:rPr>
    </w:pPr>
    <w:r>
      <w:rPr>
        <w:rFonts w:cs="Times New Roman"/>
        <w:sz w:val="24"/>
        <w:szCs w:val="24"/>
        <w:lang w:val="es-ES" w:eastAsia="es-E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start"/>
      <w:textAlignment w:val="auto"/>
    </w:pPr>
    <w:rPr>
      <w:rFonts w:ascii="Times New Roman" w:hAnsi="Times New Roman" w:eastAsia="Cambria" w:cs="Times New Roman"/>
      <w:color w:val="auto"/>
      <w:kern w:val="2"/>
      <w:sz w:val="24"/>
      <w:szCs w:val="24"/>
      <w:lang w:val="es-ES" w:eastAsia="es-ES" w:bidi="ar-SA"/>
    </w:rPr>
  </w:style>
  <w:style w:type="paragraph" w:styleId="Heading1">
    <w:name w:val="Heading 1"/>
    <w:basedOn w:val="Normal"/>
    <w:qFormat/>
    <w:pPr>
      <w:keepNext w:val="true"/>
      <w:jc w:val="center"/>
      <w:outlineLvl w:val="0"/>
    </w:pPr>
    <w:rPr>
      <w:sz w:val="16"/>
      <w:szCs w:val="16"/>
      <w:u w:val="single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mbria" w:hAnsi="Cambria"/>
      <w:b/>
      <w:bCs/>
      <w:kern w:val="2"/>
      <w:sz w:val="32"/>
      <w:szCs w:val="32"/>
    </w:rPr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TextoindependienteCar">
    <w:name w:val="Texto independiente Car"/>
    <w:basedOn w:val="DefaultParagraphFont"/>
    <w:qFormat/>
    <w:rPr/>
  </w:style>
  <w:style w:type="character" w:styleId="Textoindependiente2Car">
    <w:name w:val="Texto independiente 2 C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>
      <w:sz w:val="18"/>
      <w:szCs w:val="18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bidi w:val="0"/>
      <w:spacing w:lineRule="auto" w:line="256" w:before="0" w:after="160"/>
      <w:jc w:val="start"/>
      <w:textAlignment w:val="auto"/>
    </w:pPr>
    <w:rPr>
      <w:rFonts w:ascii="Times New Roman" w:hAnsi="Times New Roman" w:eastAsia="Cambria" w:cs="Times New Roman"/>
      <w:color w:val="auto"/>
      <w:kern w:val="2"/>
      <w:sz w:val="22"/>
      <w:szCs w:val="22"/>
      <w:lang w:val="es-CL" w:eastAsia="es-CL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BodyText2">
    <w:name w:val="Body Text 2"/>
    <w:basedOn w:val="Normal"/>
    <w:qFormat/>
    <w:pPr>
      <w:jc w:val="center"/>
    </w:pPr>
    <w:rPr>
      <w:sz w:val="16"/>
      <w:szCs w:val="16"/>
      <w:u w:val="single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LibreOffice/6.3.2.2$Linux_X86_64 LibreOffice_project/98b30e735bda24bc04ab42594c85f7fd8be07b9c</Application>
  <Pages>99</Pages>
  <Words>1142</Words>
  <Characters>7411</Characters>
  <CharactersWithSpaces>6283</CharactersWithSpaces>
  <Company>Dipres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2021-06-02T20:46:00Z</dcterms:created>
  <dc:creator>AFA</dc:creator>
  <dc:description/>
  <dc:language>en-US</dc:language>
  <cp:lastModifiedBy/>
  <dcterms:modified xsi:type="dcterms:W3CDTF">2021-06-02T20:46:00Z</dcterms:modified>
  <cp:revision>2</cp:revision>
  <dc:subject/>
  <dc:title>INDICADORES DE DESEMPEÑO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Dipres</vt:lpwstr>
  </property>
  <property fmtid="{D5CDD505-2E9C-101B-9397-08002B2CF9AE}" pid="3" name="Operator">
    <vt:lpwstr>Alexis Salgado Bravo (SOP)</vt:lpwstr>
  </property>
</Properties>
</file>