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start="0" w:end="0" w:hanging="0"/>
        <w:jc w:val="center"/>
        <w:rPr>
          <w:rFonts w:ascii="Times New Roman" w:hAnsi="Times New Roman"/>
          <w:b/>
          <w:b/>
          <w:bCs/>
          <w:sz w:val="28"/>
          <w:szCs w:val="28"/>
        </w:rPr>
      </w:pPr>
      <w:r>
        <w:rPr>
          <w:b/>
          <w:bCs/>
          <w:sz w:val="28"/>
          <w:szCs w:val="28"/>
        </w:rPr>
      </w:r>
    </w:p>
    <w:p>
      <w:pPr>
        <w:pStyle w:val="Normal"/>
        <w:bidi w:val="0"/>
        <w:ind w:start="0" w:end="0" w:hanging="0"/>
        <w:jc w:val="center"/>
        <w:rPr/>
      </w:pPr>
      <w:r>
        <w:rPr>
          <w:b/>
          <w:bCs/>
          <w:sz w:val="28"/>
          <w:szCs w:val="28"/>
        </w:rPr>
        <w:t>INDICADORES DE DESEMPEÑO AÑO 2022</w:t>
      </w:r>
    </w:p>
    <w:p>
      <w:pPr>
        <w:pStyle w:val="Normal"/>
        <w:bidi w:val="0"/>
        <w:ind w:start="0" w:end="0" w:hanging="0"/>
        <w:jc w:val="center"/>
        <w:rPr>
          <w:rFonts w:ascii="Times New Roman" w:hAnsi="Times New Roman"/>
          <w:b/>
          <w:b/>
          <w:bCs/>
          <w:sz w:val="28"/>
          <w:szCs w:val="28"/>
        </w:rPr>
      </w:pPr>
      <w:r>
        <w:rPr>
          <w:b/>
          <w:bCs/>
          <w:sz w:val="28"/>
          <w:szCs w:val="28"/>
        </w:rPr>
      </w:r>
    </w:p>
    <w:tbl>
      <w:tblPr>
        <w:tblW w:w="14700" w:type="dxa"/>
        <w:jc w:val="start"/>
        <w:tblInd w:w="-7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70" w:type="dxa"/>
          <w:bottom w:w="0" w:type="dxa"/>
          <w:end w:w="70" w:type="dxa"/>
        </w:tblCellMar>
      </w:tblPr>
      <w:tblGrid>
        <w:gridCol w:w="1527"/>
        <w:gridCol w:w="9677"/>
        <w:gridCol w:w="1399"/>
        <w:gridCol w:w="2096"/>
      </w:tblGrid>
      <w:tr>
        <w:trPr/>
        <w:tc>
          <w:tcPr>
            <w:tcW w:w="152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tabs>
                <w:tab w:val="clear" w:pos="708"/>
              </w:tabs>
              <w:bidi w:val="0"/>
              <w:ind w:start="0" w:end="0" w:hanging="0"/>
              <w:jc w:val="center"/>
              <w:rPr/>
            </w:pPr>
            <w:r>
              <w:rPr/>
              <w:t>MINISTERIO</w:t>
            </w:r>
          </w:p>
        </w:tc>
        <w:tc>
          <w:tcPr>
            <w:tcW w:w="96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both"/>
              <w:rPr/>
            </w:pPr>
            <w:r>
              <w:rPr/>
              <w:t xml:space="preserve">MINISTERIO DE OBRAS PUBLICAS                                                     </w:t>
            </w:r>
          </w:p>
        </w:tc>
        <w:tc>
          <w:tcPr>
            <w:tcW w:w="139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tabs>
                <w:tab w:val="clear" w:pos="708"/>
              </w:tabs>
              <w:bidi w:val="0"/>
              <w:ind w:start="0" w:end="0" w:hanging="0"/>
              <w:jc w:val="center"/>
              <w:rPr/>
            </w:pPr>
            <w:r>
              <w:rPr/>
              <w:t>PARTIDA</w:t>
            </w:r>
          </w:p>
        </w:tc>
        <w:tc>
          <w:tcPr>
            <w:tcW w:w="20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t>12</w:t>
            </w:r>
          </w:p>
        </w:tc>
      </w:tr>
      <w:tr>
        <w:trPr/>
        <w:tc>
          <w:tcPr>
            <w:tcW w:w="152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bidi w:val="0"/>
              <w:ind w:start="0" w:end="0" w:hanging="0"/>
              <w:jc w:val="center"/>
              <w:rPr/>
            </w:pPr>
            <w:r>
              <w:rPr/>
              <w:t>SERVICIO</w:t>
            </w:r>
          </w:p>
        </w:tc>
        <w:tc>
          <w:tcPr>
            <w:tcW w:w="96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t xml:space="preserve">DIRECCION GENERAL DE OBRAS PUBLICAS </w:t>
            </w:r>
          </w:p>
        </w:tc>
        <w:tc>
          <w:tcPr>
            <w:tcW w:w="139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tcPr>
          <w:p>
            <w:pPr>
              <w:pStyle w:val="Normal"/>
              <w:bidi w:val="0"/>
              <w:ind w:start="0" w:end="0" w:hanging="0"/>
              <w:jc w:val="center"/>
              <w:rPr/>
            </w:pPr>
            <w:r>
              <w:rPr/>
              <w:t>CAPÍTULO</w:t>
            </w:r>
          </w:p>
        </w:tc>
        <w:tc>
          <w:tcPr>
            <w:tcW w:w="20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t>02</w:t>
            </w:r>
          </w:p>
        </w:tc>
      </w:tr>
    </w:tbl>
    <w:p>
      <w:pPr>
        <w:pStyle w:val="Normal"/>
        <w:bidi w:val="0"/>
        <w:ind w:start="0" w:end="0" w:hanging="0"/>
        <w:jc w:val="center"/>
        <w:rPr>
          <w:rFonts w:ascii="Times New Roman" w:hAnsi="Times New Roman"/>
          <w:b/>
          <w:b/>
          <w:bCs/>
          <w:sz w:val="28"/>
          <w:szCs w:val="28"/>
        </w:rPr>
      </w:pPr>
      <w:r>
        <w:rPr>
          <w:b/>
          <w:bCs/>
          <w:sz w:val="28"/>
          <w:szCs w:val="28"/>
        </w:rPr>
      </w:r>
    </w:p>
    <w:p>
      <w:pPr>
        <w:pStyle w:val="Normal"/>
        <w:bidi w:val="0"/>
        <w:ind w:start="0" w:end="0" w:hanging="0"/>
        <w:jc w:val="center"/>
        <w:rPr>
          <w:rFonts w:ascii="Times New Roman" w:hAnsi="Times New Roman"/>
          <w:b/>
          <w:b/>
          <w:bCs/>
          <w:sz w:val="28"/>
          <w:szCs w:val="28"/>
        </w:rPr>
      </w:pPr>
      <w:r>
        <w:rPr>
          <w:b/>
          <w:bCs/>
          <w:sz w:val="28"/>
          <w:szCs w:val="28"/>
        </w:rPr>
      </w:r>
    </w:p>
    <w:tbl>
      <w:tblPr>
        <w:tblW w:w="14748" w:type="dxa"/>
        <w:jc w:val="start"/>
        <w:tblInd w:w="-108"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8" w:type="dxa"/>
          <w:bottom w:w="0" w:type="dxa"/>
          <w:end w:w="108" w:type="dxa"/>
        </w:tblCellMar>
      </w:tblPr>
      <w:tblGrid>
        <w:gridCol w:w="2445"/>
        <w:gridCol w:w="3473"/>
        <w:gridCol w:w="2026"/>
        <w:gridCol w:w="1158"/>
        <w:gridCol w:w="1158"/>
        <w:gridCol w:w="1157"/>
        <w:gridCol w:w="1158"/>
        <w:gridCol w:w="1158"/>
        <w:gridCol w:w="1013"/>
      </w:tblGrid>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Producto Estratégico al que se Vincula</w:t>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Indicador</w:t>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Formula de Cálculo</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2018</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2019</w:t>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2020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Efectivo a Junio 2021</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Meta 2022</w:t>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999999"/>
            <w:vAlign w:val="center"/>
          </w:tcPr>
          <w:p>
            <w:pPr>
              <w:pStyle w:val="Normal"/>
              <w:tabs>
                <w:tab w:val="clear" w:pos="708"/>
              </w:tabs>
              <w:bidi w:val="0"/>
              <w:ind w:start="0" w:end="0" w:hanging="0"/>
              <w:jc w:val="center"/>
              <w:rPr/>
            </w:pPr>
            <w:r>
              <w:rPr>
                <w:b/>
                <w:bCs/>
                <w:sz w:val="18"/>
                <w:szCs w:val="18"/>
              </w:rPr>
              <w:t>Notas</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rPr/>
            </w:pPr>
            <w:r>
              <w:rPr/>
              <w:t xml:space="preserve"> </w:t>
            </w:r>
            <w:r>
              <w:rPr>
                <w:rFonts w:eastAsia="Symbol" w:cs="Symbol" w:ascii="Symbol" w:hAnsi="Symbol"/>
              </w:rPr>
              <w:t>·</w:t>
            </w:r>
            <w:r>
              <w:rPr>
                <w:sz w:val="18"/>
                <w:szCs w:val="18"/>
              </w:rPr>
              <w:t xml:space="preserve">Dirigir y Asesorar a través de lineamientos, criterios y metodologías de Infraestructura Pública. </w:t>
            </w:r>
          </w:p>
          <w:p>
            <w:pPr>
              <w:pStyle w:val="Normal"/>
              <w:tabs>
                <w:tab w:val="clear" w:pos="708"/>
              </w:tabs>
              <w:bidi w:val="0"/>
              <w:ind w:start="0" w:end="0" w:hanging="0"/>
              <w:rPr/>
            </w:pPr>
            <w:r>
              <w:rPr/>
              <w:t xml:space="preserve">  </w:t>
            </w:r>
            <w:r>
              <w:rPr>
                <w:sz w:val="18"/>
                <w:szCs w:val="18"/>
              </w:rPr>
              <w:t xml:space="preserve"> </w:t>
            </w:r>
          </w:p>
          <w:p>
            <w:pPr>
              <w:pStyle w:val="Normal"/>
              <w:tabs>
                <w:tab w:val="clear" w:pos="708"/>
              </w:tabs>
              <w:bidi w:val="0"/>
              <w:ind w:start="0" w:end="0" w:hanging="0"/>
              <w:rPr/>
            </w:pPr>
            <w:r>
              <w:rPr>
                <w:rFonts w:eastAsia="Symbol" w:cs="Symbol" w:ascii="Symbol" w:hAnsi="Symbol"/>
              </w:rPr>
              <w:t>·</w:t>
            </w:r>
            <w:r>
              <w:rPr>
                <w:sz w:val="18"/>
                <w:szCs w:val="18"/>
              </w:rPr>
              <w:t xml:space="preserve">Fiscalización de Obras de Infraestructura Pública  </w:t>
            </w:r>
          </w:p>
          <w:p>
            <w:pPr>
              <w:pStyle w:val="Normal"/>
              <w:tabs>
                <w:tab w:val="clear" w:pos="708"/>
              </w:tabs>
              <w:bidi w:val="0"/>
              <w:ind w:start="160" w:end="0" w:hanging="0"/>
              <w:rPr/>
            </w:pPr>
            <w:r>
              <w:rPr/>
              <w:t xml:space="preserve">  </w:t>
            </w:r>
            <w:r>
              <w:rPr>
                <w:rFonts w:eastAsia="Times New Roman" w:cs="Times New Roman" w:ascii="Times New Roman" w:hAnsi="Times New Roman"/>
              </w:rPr>
              <w:t>-</w:t>
            </w:r>
            <w:r>
              <w:rPr>
                <w:sz w:val="16"/>
              </w:rPr>
              <w:t xml:space="preserve">Fiscalización del cumplimiento de la normativa ambiental y de asuntos indígenas a nivel MOP. </w:t>
            </w:r>
          </w:p>
          <w:p>
            <w:pPr>
              <w:pStyle w:val="Normal"/>
              <w:tabs>
                <w:tab w:val="clear" w:pos="708"/>
              </w:tabs>
              <w:bidi w:val="0"/>
              <w:ind w:start="160" w:end="0" w:hanging="0"/>
              <w:rPr/>
            </w:pPr>
            <w:r>
              <w:rPr/>
              <w:t xml:space="preserve"> </w:t>
            </w:r>
            <w:r>
              <w:rPr>
                <w:rFonts w:eastAsia="Times New Roman" w:cs="Times New Roman" w:ascii="Times New Roman" w:hAnsi="Times New Roman"/>
              </w:rPr>
              <w:t>·</w:t>
            </w:r>
          </w:p>
          <w:p>
            <w:pPr>
              <w:pStyle w:val="Normal"/>
              <w:tabs>
                <w:tab w:val="clear" w:pos="708"/>
              </w:tabs>
              <w:bidi w:val="0"/>
              <w:ind w:start="0" w:end="0" w:hanging="0"/>
              <w:jc w:val="both"/>
              <w:rPr>
                <w:rFonts w:ascii="Times New Roman" w:hAnsi="Times New Roman"/>
                <w:i/>
                <w:i/>
                <w:sz w:val="14"/>
              </w:rPr>
            </w:pPr>
            <w:r>
              <w:rPr>
                <w:i/>
                <w:sz w:val="14"/>
              </w:rPr>
            </w:r>
          </w:p>
          <w:p>
            <w:pPr>
              <w:pStyle w:val="Normal"/>
              <w:tabs>
                <w:tab w:val="clear" w:pos="708"/>
              </w:tabs>
              <w:bidi w:val="0"/>
              <w:ind w:start="0" w:end="0" w:hanging="0"/>
              <w:jc w:val="both"/>
              <w:rPr>
                <w:rFonts w:ascii="Times New Roman" w:hAnsi="Times New Roman"/>
                <w:i/>
                <w:i/>
                <w:sz w:val="14"/>
              </w:rPr>
            </w:pPr>
            <w:r>
              <w:rPr>
                <w:i/>
                <w:sz w:val="14"/>
              </w:rPr>
            </w:r>
          </w:p>
          <w:p>
            <w:pPr>
              <w:pStyle w:val="Normal"/>
              <w:tabs>
                <w:tab w:val="clear" w:pos="708"/>
              </w:tabs>
              <w:bidi w:val="0"/>
              <w:ind w:start="0" w:end="0" w:hanging="0"/>
              <w:jc w:val="both"/>
              <w:rPr>
                <w:rFonts w:ascii="Times New Roman" w:hAnsi="Times New Roman"/>
                <w:i/>
                <w:i/>
                <w:sz w:val="14"/>
              </w:rPr>
            </w:pPr>
            <w:r>
              <w:rPr>
                <w:i/>
                <w:sz w:val="14"/>
              </w:rPr>
            </w:r>
          </w:p>
          <w:p>
            <w:pPr>
              <w:pStyle w:val="Normal"/>
              <w:tabs>
                <w:tab w:val="clear" w:pos="708"/>
              </w:tabs>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both"/>
              <w:rPr/>
            </w:pPr>
            <w:r>
              <w:rPr>
                <w:i/>
                <w:iCs/>
                <w:sz w:val="18"/>
                <w:szCs w:val="18"/>
                <w:u w:val="single"/>
              </w:rPr>
              <w:t>Eficacia/Producto</w:t>
            </w:r>
          </w:p>
          <w:p>
            <w:pPr>
              <w:pStyle w:val="Normal"/>
              <w:tabs>
                <w:tab w:val="clear" w:pos="708"/>
              </w:tabs>
              <w:bidi w:val="0"/>
              <w:ind w:start="0" w:end="0" w:hanging="0"/>
              <w:jc w:val="both"/>
              <w:rPr>
                <w:rFonts w:ascii="Times New Roman" w:hAnsi="Times New Roman"/>
                <w:sz w:val="18"/>
                <w:szCs w:val="18"/>
              </w:rPr>
            </w:pPr>
            <w:r>
              <w:rPr>
                <w:sz w:val="18"/>
                <w:szCs w:val="18"/>
              </w:rPr>
            </w:r>
          </w:p>
          <w:p>
            <w:pPr>
              <w:pStyle w:val="Normal"/>
              <w:tabs>
                <w:tab w:val="clear" w:pos="708"/>
              </w:tabs>
              <w:bidi w:val="0"/>
              <w:ind w:start="0" w:end="0" w:hanging="0"/>
              <w:jc w:val="both"/>
              <w:rPr>
                <w:rFonts w:ascii="Times New Roman" w:hAnsi="Times New Roman"/>
                <w:sz w:val="18"/>
                <w:szCs w:val="18"/>
              </w:rPr>
            </w:pPr>
            <w:r>
              <w:rPr>
                <w:sz w:val="18"/>
                <w:szCs w:val="18"/>
              </w:rPr>
            </w:r>
          </w:p>
          <w:p>
            <w:pPr>
              <w:pStyle w:val="Normal"/>
              <w:tabs>
                <w:tab w:val="clear" w:pos="708"/>
              </w:tabs>
              <w:bidi w:val="0"/>
              <w:ind w:start="0" w:end="0" w:hanging="0"/>
              <w:rPr/>
            </w:pPr>
            <w:r>
              <w:rPr>
                <w:sz w:val="18"/>
                <w:szCs w:val="18"/>
              </w:rPr>
              <w:t>1 Porcentaje de proyectos de MOP, en construcción u operación con y sin Resolución de Calificación Ambiental (RCA) Fiscalizados         </w:t>
            </w:r>
          </w:p>
          <w:p>
            <w:pPr>
              <w:pStyle w:val="Normal"/>
              <w:tabs>
                <w:tab w:val="clear" w:pos="708"/>
              </w:tabs>
              <w:bidi w:val="0"/>
              <w:ind w:start="0" w:end="0" w:hanging="0"/>
              <w:rPr>
                <w:rFonts w:ascii="Times New Roman" w:hAnsi="Times New Roman"/>
                <w:sz w:val="12"/>
                <w:szCs w:val="12"/>
              </w:rPr>
            </w:pPr>
            <w:r>
              <w:rPr>
                <w:sz w:val="12"/>
                <w:szCs w:val="12"/>
              </w:rPr>
            </w:r>
          </w:p>
          <w:p>
            <w:pPr>
              <w:pStyle w:val="Normal"/>
              <w:tabs>
                <w:tab w:val="clear" w:pos="708"/>
              </w:tabs>
              <w:bidi w:val="0"/>
              <w:ind w:start="0" w:end="0" w:hanging="0"/>
              <w:rPr>
                <w:rFonts w:ascii="Times New Roman" w:hAnsi="Times New Roman"/>
                <w:sz w:val="12"/>
                <w:szCs w:val="12"/>
              </w:rPr>
            </w:pPr>
            <w:r>
              <w:rPr>
                <w:sz w:val="12"/>
                <w:szCs w:val="12"/>
              </w:rPr>
            </w:r>
          </w:p>
          <w:p>
            <w:pPr>
              <w:pStyle w:val="Normal"/>
              <w:tabs>
                <w:tab w:val="clear" w:pos="708"/>
              </w:tabs>
              <w:bidi w:val="0"/>
              <w:ind w:start="0" w:end="0" w:hanging="0"/>
              <w:rPr/>
            </w:pPr>
            <w:r>
              <w:rPr>
                <w:sz w:val="12"/>
                <w:szCs w:val="12"/>
              </w:rPr>
              <w:t>Aplica Desagregación por Sexo: NO</w:t>
            </w:r>
          </w:p>
          <w:p>
            <w:pPr>
              <w:pStyle w:val="Normal"/>
              <w:tabs>
                <w:tab w:val="clear" w:pos="708"/>
              </w:tabs>
              <w:bidi w:val="0"/>
              <w:ind w:start="0" w:end="0" w:hanging="0"/>
              <w:rPr/>
            </w:pPr>
            <w:r>
              <w:rPr>
                <w:sz w:val="12"/>
                <w:szCs w:val="12"/>
              </w:rPr>
              <w:t xml:space="preserve">    </w:t>
            </w:r>
            <w:r>
              <w:rPr>
                <w:sz w:val="12"/>
                <w:szCs w:val="12"/>
              </w:rPr>
              <w:t>Aplica Gestión Territorial: NO</w:t>
            </w:r>
          </w:p>
          <w:p>
            <w:pPr>
              <w:pStyle w:val="Normal"/>
              <w:tabs>
                <w:tab w:val="clear" w:pos="708"/>
              </w:tabs>
              <w:bidi w:val="0"/>
              <w:ind w:start="0" w:end="0" w:hanging="0"/>
              <w:rPr>
                <w:rFonts w:ascii="Times New Roman" w:hAnsi="Times New Roman"/>
                <w:sz w:val="12"/>
                <w:szCs w:val="12"/>
              </w:rPr>
            </w:pPr>
            <w:r>
              <w:rPr>
                <w:sz w:val="12"/>
                <w:szCs w:val="12"/>
              </w:rPr>
            </w:r>
          </w:p>
          <w:p>
            <w:pPr>
              <w:pStyle w:val="Normal"/>
              <w:tabs>
                <w:tab w:val="clear" w:pos="708"/>
              </w:tabs>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(N° de proyectos MOP, en construcción u operación con RCA y Sin RCA fiscalizados en el año t /N° total de proyectos MOP con RCA y Sin RCA en el año t)*100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7 %</w:t>
            </w:r>
          </w:p>
          <w:p>
            <w:pPr>
              <w:pStyle w:val="Normal"/>
              <w:tabs>
                <w:tab w:val="clear" w:pos="708"/>
              </w:tabs>
              <w:bidi w:val="0"/>
              <w:ind w:start="0" w:end="0" w:hanging="0"/>
              <w:jc w:val="center"/>
              <w:rPr/>
            </w:pPr>
            <w:r>
              <w:rPr>
                <w:bCs/>
                <w:sz w:val="18"/>
                <w:szCs w:val="18"/>
              </w:rPr>
              <w:t>(19/264)*100</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17 %</w:t>
            </w:r>
          </w:p>
          <w:p>
            <w:pPr>
              <w:pStyle w:val="Normal"/>
              <w:tabs>
                <w:tab w:val="clear" w:pos="708"/>
              </w:tabs>
              <w:bidi w:val="0"/>
              <w:ind w:start="0" w:end="0" w:hanging="0"/>
              <w:jc w:val="center"/>
              <w:rPr/>
            </w:pPr>
            <w:r>
              <w:rPr>
                <w:bCs/>
                <w:sz w:val="18"/>
                <w:szCs w:val="18"/>
              </w:rPr>
              <w:t>(45/261)*100</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19 %</w:t>
            </w:r>
          </w:p>
          <w:p>
            <w:pPr>
              <w:pStyle w:val="Normal"/>
              <w:tabs>
                <w:tab w:val="clear" w:pos="708"/>
              </w:tabs>
              <w:bidi w:val="0"/>
              <w:ind w:start="0" w:end="0" w:hanging="0"/>
              <w:jc w:val="center"/>
              <w:rPr/>
            </w:pPr>
            <w:r>
              <w:rPr>
                <w:bCs/>
                <w:sz w:val="18"/>
                <w:szCs w:val="18"/>
              </w:rPr>
              <w:t>(51/264)*100</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pPr>
            <w:r>
              <w:rPr>
                <w:bCs/>
                <w:sz w:val="18"/>
                <w:szCs w:val="18"/>
              </w:rPr>
              <w:t xml:space="preserve"> </w:t>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0 %</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bCs/>
                <w:sz w:val="18"/>
                <w:szCs w:val="18"/>
              </w:rPr>
              <w:t>18  %</w:t>
            </w:r>
          </w:p>
          <w:p>
            <w:pPr>
              <w:pStyle w:val="Normal"/>
              <w:tabs>
                <w:tab w:val="clear" w:pos="708"/>
              </w:tabs>
              <w:bidi w:val="0"/>
              <w:ind w:start="0" w:end="0" w:hanging="0"/>
              <w:jc w:val="center"/>
              <w:rPr/>
            </w:pPr>
            <w:r>
              <w:rPr>
                <w:bCs/>
                <w:sz w:val="18"/>
                <w:szCs w:val="18"/>
              </w:rPr>
              <w:t xml:space="preserve">(55/314)*100 </w:t>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p>
            <w:pPr>
              <w:pStyle w:val="Normal"/>
              <w:tabs>
                <w:tab w:val="clear" w:pos="708"/>
              </w:tabs>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lear" w:pos="708"/>
              </w:tabs>
              <w:bidi w:val="0"/>
              <w:ind w:start="0" w:end="0" w:hanging="0"/>
              <w:jc w:val="center"/>
              <w:rPr/>
            </w:pPr>
            <w:r>
              <w:rPr>
                <w:sz w:val="18"/>
                <w:szCs w:val="18"/>
              </w:rPr>
              <w:t>1</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rFonts w:eastAsia="Symbol" w:cs="Symbol" w:ascii="Symbol" w:hAnsi="Symbol"/>
              </w:rPr>
              <w:t>·</w:t>
            </w:r>
            <w:r>
              <w:rPr>
                <w:sz w:val="18"/>
                <w:szCs w:val="18"/>
              </w:rPr>
              <w:t xml:space="preserve">Institucional </w:t>
            </w:r>
          </w:p>
          <w:p>
            <w:pPr>
              <w:pStyle w:val="Normal"/>
              <w:bidi w:val="0"/>
              <w:ind w:start="0" w:end="0" w:hanging="0"/>
              <w:rPr/>
            </w:pP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Eficacia/Producto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2 Porcentaje de contratos de obra del año t publicados en el visor de contratos en GEOMOP.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NO</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(Número de contratos de obra al año t, publicados en el visor de contratos de Geomop/Número Total de contratos de obra publicables en el visor de contratos Geomop en el año t)*100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70 %</w:t>
            </w:r>
          </w:p>
          <w:p>
            <w:pPr>
              <w:pStyle w:val="Normal"/>
              <w:bidi w:val="0"/>
              <w:ind w:start="0" w:end="0" w:hanging="0"/>
              <w:jc w:val="center"/>
              <w:rPr/>
            </w:pPr>
            <w:r>
              <w:rPr>
                <w:bCs/>
                <w:sz w:val="18"/>
                <w:szCs w:val="18"/>
              </w:rPr>
              <w:t>(1400/2000)*100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81 %</w:t>
            </w:r>
          </w:p>
          <w:p>
            <w:pPr>
              <w:pStyle w:val="Normal"/>
              <w:bidi w:val="0"/>
              <w:ind w:start="0" w:end="0" w:hanging="0"/>
              <w:jc w:val="center"/>
              <w:rPr/>
            </w:pPr>
            <w:r>
              <w:rPr>
                <w:bCs/>
                <w:sz w:val="18"/>
                <w:szCs w:val="18"/>
              </w:rPr>
              <w:t>(2244/2761)*100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80 %</w:t>
            </w:r>
          </w:p>
          <w:p>
            <w:pPr>
              <w:pStyle w:val="Normal"/>
              <w:bidi w:val="0"/>
              <w:ind w:start="0" w:end="0" w:hanging="0"/>
              <w:jc w:val="center"/>
              <w:rPr/>
            </w:pPr>
            <w:r>
              <w:rPr>
                <w:bCs/>
                <w:sz w:val="18"/>
                <w:szCs w:val="18"/>
              </w:rPr>
              <w:t>(2096/2632)*100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80  %</w:t>
            </w:r>
          </w:p>
          <w:p>
            <w:pPr>
              <w:pStyle w:val="Normal"/>
              <w:bidi w:val="0"/>
              <w:ind w:start="0" w:end="0" w:hanging="0"/>
              <w:jc w:val="center"/>
              <w:rPr/>
            </w:pPr>
            <w:r>
              <w:rPr>
                <w:bCs/>
                <w:sz w:val="18"/>
                <w:szCs w:val="18"/>
              </w:rPr>
              <w:t xml:space="preserve">(2170/2697)*100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2</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rFonts w:eastAsia="Symbol" w:cs="Symbol" w:ascii="Symbol" w:hAnsi="Symbol"/>
              </w:rPr>
              <w:t>·</w:t>
            </w:r>
            <w:r>
              <w:rPr>
                <w:sz w:val="18"/>
                <w:szCs w:val="18"/>
              </w:rPr>
              <w:t xml:space="preserve">Institucional </w:t>
            </w:r>
          </w:p>
          <w:p>
            <w:pPr>
              <w:pStyle w:val="Normal"/>
              <w:bidi w:val="0"/>
              <w:ind w:start="0" w:end="0" w:hanging="0"/>
              <w:rPr/>
            </w:pP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Eficacia/Producto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3 Porcentaje de fiscalizaciones realizadas en el año t para verificar implementación de medidas correctivas derivadas de las investigaciones de accidentes en contratos con accidentabilidad &gt;=2.5%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NO</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(número de contratos con accidentabilidad &gt;=2.5% fiscalizados en el año t/número total de contratos con accidentabilidad &gt;= 2.5% informados por Inspectores fiscales en el año t)*100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52 %</w:t>
            </w:r>
          </w:p>
          <w:p>
            <w:pPr>
              <w:pStyle w:val="Normal"/>
              <w:bidi w:val="0"/>
              <w:ind w:start="0" w:end="0" w:hanging="0"/>
              <w:jc w:val="center"/>
              <w:rPr/>
            </w:pPr>
            <w:r>
              <w:rPr>
                <w:bCs/>
                <w:sz w:val="18"/>
                <w:szCs w:val="18"/>
              </w:rPr>
              <w:t>(16/31)*100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48 %</w:t>
            </w:r>
          </w:p>
          <w:p>
            <w:pPr>
              <w:pStyle w:val="Normal"/>
              <w:bidi w:val="0"/>
              <w:ind w:start="0" w:end="0" w:hanging="0"/>
              <w:jc w:val="center"/>
              <w:rPr/>
            </w:pPr>
            <w:r>
              <w:rPr>
                <w:bCs/>
                <w:sz w:val="18"/>
                <w:szCs w:val="18"/>
              </w:rPr>
              <w:t>(15/31)*100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63 %</w:t>
            </w:r>
          </w:p>
          <w:p>
            <w:pPr>
              <w:pStyle w:val="Normal"/>
              <w:bidi w:val="0"/>
              <w:ind w:start="0" w:end="0" w:hanging="0"/>
              <w:jc w:val="center"/>
              <w:rPr/>
            </w:pPr>
            <w:r>
              <w:rPr>
                <w:bCs/>
                <w:sz w:val="18"/>
                <w:szCs w:val="18"/>
              </w:rPr>
              <w:t>(22/35)*100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58  %</w:t>
            </w:r>
          </w:p>
          <w:p>
            <w:pPr>
              <w:pStyle w:val="Normal"/>
              <w:bidi w:val="0"/>
              <w:ind w:start="0" w:end="0" w:hanging="0"/>
              <w:jc w:val="center"/>
              <w:rPr/>
            </w:pPr>
            <w:r>
              <w:rPr>
                <w:bCs/>
                <w:sz w:val="18"/>
                <w:szCs w:val="18"/>
              </w:rPr>
              <w:t xml:space="preserve">(19/33)*100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3</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Dirigir y Asesorar a través de lineamientos, criterios y metodologías de Infraestructura Pública. </w:t>
            </w:r>
          </w:p>
          <w:p>
            <w:pPr>
              <w:pStyle w:val="Normal"/>
              <w:bidi w:val="0"/>
              <w:ind w:start="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Eficacia/Producto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4 Porcentaje de proyectos de titularidad  MOP con Resolución de Calificación Ambiental (RCA) Fiscalizados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NO</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(N° de proyectos MOP, en construcción, con RCA y fiscalizados en el año t /N° total de proyectos MOP con RCA en el año t)*100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7 %</w:t>
            </w:r>
          </w:p>
          <w:p>
            <w:pPr>
              <w:pStyle w:val="Normal"/>
              <w:bidi w:val="0"/>
              <w:ind w:start="0" w:end="0" w:hanging="0"/>
              <w:jc w:val="center"/>
              <w:rPr/>
            </w:pPr>
            <w:r>
              <w:rPr>
                <w:bCs/>
                <w:sz w:val="18"/>
                <w:szCs w:val="18"/>
              </w:rPr>
              <w:t>(19/264)*100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17 %</w:t>
            </w:r>
          </w:p>
          <w:p>
            <w:pPr>
              <w:pStyle w:val="Normal"/>
              <w:bidi w:val="0"/>
              <w:ind w:start="0" w:end="0" w:hanging="0"/>
              <w:jc w:val="center"/>
              <w:rPr/>
            </w:pPr>
            <w:r>
              <w:rPr>
                <w:bCs/>
                <w:sz w:val="18"/>
                <w:szCs w:val="18"/>
              </w:rPr>
              <w:t>(45/261)*100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19 %</w:t>
            </w:r>
          </w:p>
          <w:p>
            <w:pPr>
              <w:pStyle w:val="Normal"/>
              <w:bidi w:val="0"/>
              <w:ind w:start="0" w:end="0" w:hanging="0"/>
              <w:jc w:val="center"/>
              <w:rPr/>
            </w:pPr>
            <w:r>
              <w:rPr>
                <w:bCs/>
                <w:sz w:val="18"/>
                <w:szCs w:val="18"/>
              </w:rPr>
              <w:t>(51/264)*100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 xml:space="preserve">N.M.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4</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Sistema de Contratación y Registro de Contratistas y Consultores MOP </w:t>
            </w:r>
          </w:p>
          <w:p>
            <w:pPr>
              <w:pStyle w:val="Normal"/>
              <w:bidi w:val="0"/>
              <w:ind w:start="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Eficacia/Producto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5 Porcentaje de Solicitudes de Inscripción en el Registro de Contratistas de Obras Mayores y Consultores tramitadas dentro del plazo de 20 días hábiles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NO</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(N° de Solicitudes de Inscripción en el Registro de Contratistas de Obras Mayores y Consultores tramitadas en un tiempo máximo de 20 días hábiles en el año t/N° Total de Solicitudes de Inscripción en el Registro de Contratistas de Obras Mayores y Consultores iniciadas y tramitadas en el año t)*100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72 %</w:t>
            </w:r>
          </w:p>
          <w:p>
            <w:pPr>
              <w:pStyle w:val="Normal"/>
              <w:bidi w:val="0"/>
              <w:ind w:start="0" w:end="0" w:hanging="0"/>
              <w:jc w:val="center"/>
              <w:rPr/>
            </w:pPr>
            <w:r>
              <w:rPr>
                <w:bCs/>
                <w:sz w:val="18"/>
                <w:szCs w:val="18"/>
              </w:rPr>
              <w:t>(401/556)*100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87 %</w:t>
            </w:r>
          </w:p>
          <w:p>
            <w:pPr>
              <w:pStyle w:val="Normal"/>
              <w:bidi w:val="0"/>
              <w:ind w:start="0" w:end="0" w:hanging="0"/>
              <w:jc w:val="center"/>
              <w:rPr/>
            </w:pPr>
            <w:r>
              <w:rPr>
                <w:bCs/>
                <w:sz w:val="18"/>
                <w:szCs w:val="18"/>
              </w:rPr>
              <w:t>(476/545)*100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90 %</w:t>
            </w:r>
          </w:p>
          <w:p>
            <w:pPr>
              <w:pStyle w:val="Normal"/>
              <w:bidi w:val="0"/>
              <w:ind w:start="0" w:end="0" w:hanging="0"/>
              <w:jc w:val="center"/>
              <w:rPr/>
            </w:pPr>
            <w:r>
              <w:rPr>
                <w:bCs/>
                <w:sz w:val="18"/>
                <w:szCs w:val="18"/>
              </w:rPr>
              <w:t>(532/590)*100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85  %</w:t>
            </w:r>
          </w:p>
          <w:p>
            <w:pPr>
              <w:pStyle w:val="Normal"/>
              <w:bidi w:val="0"/>
              <w:ind w:start="0" w:end="0" w:hanging="0"/>
              <w:jc w:val="center"/>
              <w:rPr/>
            </w:pPr>
            <w:r>
              <w:rPr>
                <w:bCs/>
                <w:sz w:val="18"/>
                <w:szCs w:val="18"/>
              </w:rPr>
              <w:t xml:space="preserve">(510/600)*100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5</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Fiscalización de Obras de Infraestructura Pública  </w:t>
            </w:r>
          </w:p>
          <w:p>
            <w:pPr>
              <w:pStyle w:val="Normal"/>
              <w:bidi w:val="0"/>
              <w:ind w:start="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Eficacia/Resultado Intermedio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6 Tasa de Accidentabilidad por accidentes con tiempo perdido de trabajadores de los contratos en ejecución del MOP.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SI</w:t>
            </w:r>
          </w:p>
          <w:p>
            <w:pPr>
              <w:pStyle w:val="Normal"/>
              <w:bidi w:val="0"/>
              <w:ind w:start="0" w:end="0" w:hanging="0"/>
              <w:rPr/>
            </w:pPr>
            <w:r>
              <w:rPr>
                <w:sz w:val="12"/>
                <w:szCs w:val="12"/>
              </w:rPr>
              <w:t xml:space="preserve">    </w:t>
            </w:r>
            <w:r>
              <w:rPr>
                <w:sz w:val="12"/>
                <w:szCs w:val="12"/>
              </w:rPr>
              <w:t>Aplica Gestión Territorial: NO</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(Nº de accidentes del trabajo con tiempo perdido, ocurridos en contratos con obras en ejecución durante el año t/N° Promedio de trabajadores en obras en ejecución durante el año t)*100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0.00 %</w:t>
            </w:r>
          </w:p>
          <w:p>
            <w:pPr>
              <w:pStyle w:val="Normal"/>
              <w:bidi w:val="0"/>
              <w:ind w:start="0" w:end="0" w:hanging="0"/>
              <w:jc w:val="center"/>
              <w:rPr/>
            </w:pPr>
            <w:r>
              <w:rPr>
                <w:bCs/>
                <w:sz w:val="18"/>
                <w:szCs w:val="18"/>
              </w:rPr>
              <w:t>(0.00/0.00)*100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H: 0.00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M: 0.00</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2.97 %</w:t>
            </w:r>
          </w:p>
          <w:p>
            <w:pPr>
              <w:pStyle w:val="Normal"/>
              <w:bidi w:val="0"/>
              <w:ind w:start="0" w:end="0" w:hanging="0"/>
              <w:jc w:val="center"/>
              <w:rPr/>
            </w:pPr>
            <w:r>
              <w:rPr>
                <w:bCs/>
                <w:sz w:val="18"/>
                <w:szCs w:val="18"/>
              </w:rPr>
              <w:t>(506.00/17053.00)*100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H: 0.00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M: 0.00</w:t>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1.83 %</w:t>
            </w:r>
          </w:p>
          <w:p>
            <w:pPr>
              <w:pStyle w:val="Normal"/>
              <w:bidi w:val="0"/>
              <w:ind w:start="0" w:end="0" w:hanging="0"/>
              <w:jc w:val="center"/>
              <w:rPr/>
            </w:pPr>
            <w:r>
              <w:rPr>
                <w:bCs/>
                <w:sz w:val="18"/>
                <w:szCs w:val="18"/>
              </w:rPr>
              <w:t>(389.00/21283.00)*100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H: 0.00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M: 0.00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H: 0.00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M: 0.00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2.50  %</w:t>
            </w:r>
          </w:p>
          <w:p>
            <w:pPr>
              <w:pStyle w:val="Normal"/>
              <w:bidi w:val="0"/>
              <w:ind w:start="0" w:end="0" w:hanging="0"/>
              <w:jc w:val="center"/>
              <w:rPr/>
            </w:pPr>
            <w:r>
              <w:rPr>
                <w:bCs/>
                <w:sz w:val="18"/>
                <w:szCs w:val="18"/>
              </w:rPr>
              <w:t xml:space="preserve">(550.00/22000.00)*100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H: 2.50</w:t>
            </w:r>
          </w:p>
          <w:p>
            <w:pPr>
              <w:pStyle w:val="Normal"/>
              <w:bidi w:val="0"/>
              <w:ind w:start="0" w:end="0" w:hanging="0"/>
              <w:jc w:val="center"/>
              <w:rPr/>
            </w:pPr>
            <w:r>
              <w:rPr>
                <w:bCs/>
                <w:sz w:val="18"/>
                <w:szCs w:val="18"/>
              </w:rPr>
              <w:t>(500.00/20000.00)*100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M: 2.50 </w:t>
            </w:r>
          </w:p>
          <w:p>
            <w:pPr>
              <w:pStyle w:val="Normal"/>
              <w:bidi w:val="0"/>
              <w:ind w:start="0" w:end="0" w:hanging="0"/>
              <w:jc w:val="center"/>
              <w:rPr/>
            </w:pPr>
            <w:r>
              <w:rPr>
                <w:bCs/>
                <w:sz w:val="18"/>
                <w:szCs w:val="18"/>
              </w:rPr>
              <w:t>(50.00/2000.00)*100</w:t>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6</w:t>
            </w:r>
          </w:p>
        </w:tc>
      </w:tr>
      <w:tr>
        <w:trPr/>
        <w:tc>
          <w:tcPr>
            <w:tcW w:w="244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rPr/>
            </w:pPr>
            <w:r>
              <w:rPr/>
              <w:t xml:space="preserve"> </w:t>
            </w:r>
            <w:r>
              <w:rPr>
                <w:rFonts w:eastAsia="Symbol" w:cs="Symbol" w:ascii="Symbol" w:hAnsi="Symbol"/>
              </w:rPr>
              <w:t>·</w:t>
            </w:r>
            <w:r>
              <w:rPr>
                <w:sz w:val="18"/>
                <w:szCs w:val="18"/>
              </w:rPr>
              <w:t xml:space="preserve">Fiscalización de Obras de Infraestructura Pública  </w:t>
            </w:r>
          </w:p>
          <w:p>
            <w:pPr>
              <w:pStyle w:val="Normal"/>
              <w:bidi w:val="0"/>
              <w:ind w:start="0" w:end="0" w:hanging="0"/>
              <w:rPr/>
            </w:pPr>
            <w:r>
              <w:rPr/>
              <w:t xml:space="preserve"> </w:t>
            </w:r>
            <w:r>
              <w:rPr>
                <w:rFonts w:eastAsia="Times New Roman" w:cs="Times New Roman" w:ascii="Times New Roman" w:hAnsi="Times New Roman"/>
              </w:rPr>
              <w:t>·</w:t>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p>
            <w:pPr>
              <w:pStyle w:val="Normal"/>
              <w:bidi w:val="0"/>
              <w:ind w:start="0" w:end="0" w:hanging="0"/>
              <w:jc w:val="both"/>
              <w:rPr>
                <w:rFonts w:ascii="Times New Roman" w:hAnsi="Times New Roman"/>
                <w:i/>
                <w:i/>
                <w:sz w:val="14"/>
              </w:rPr>
            </w:pPr>
            <w:r>
              <w:rPr>
                <w:i/>
                <w:sz w:val="14"/>
              </w:rPr>
            </w:r>
          </w:p>
        </w:tc>
        <w:tc>
          <w:tcPr>
            <w:tcW w:w="347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both"/>
              <w:rPr/>
            </w:pPr>
            <w:r>
              <w:rPr>
                <w:i/>
                <w:iCs/>
                <w:sz w:val="18"/>
                <w:szCs w:val="18"/>
                <w:u w:val="single"/>
              </w:rPr>
              <w:t>Calidad/Proceso</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rPr/>
            </w:pPr>
            <w:r>
              <w:rPr>
                <w:sz w:val="18"/>
                <w:szCs w:val="18"/>
              </w:rPr>
              <w:t>7 Porcentaje de modificaciones de contrato, revisadas en un plazo máximo de 8 días hábiles   </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pPr>
            <w:r>
              <w:rPr>
                <w:sz w:val="12"/>
                <w:szCs w:val="12"/>
              </w:rPr>
              <w:t>Aplica Desagregación por Sexo: NO</w:t>
            </w:r>
          </w:p>
          <w:p>
            <w:pPr>
              <w:pStyle w:val="Normal"/>
              <w:bidi w:val="0"/>
              <w:ind w:start="0" w:end="0" w:hanging="0"/>
              <w:rPr/>
            </w:pPr>
            <w:r>
              <w:rPr>
                <w:sz w:val="12"/>
                <w:szCs w:val="12"/>
              </w:rPr>
              <w:t xml:space="preserve">    </w:t>
            </w:r>
            <w:r>
              <w:rPr>
                <w:sz w:val="12"/>
                <w:szCs w:val="12"/>
              </w:rPr>
              <w:t>Aplica Gestión Territorial: NO</w:t>
            </w:r>
          </w:p>
          <w:p>
            <w:pPr>
              <w:pStyle w:val="Normal"/>
              <w:bidi w:val="0"/>
              <w:ind w:start="0" w:end="0" w:hanging="0"/>
              <w:rPr>
                <w:rFonts w:ascii="Times New Roman" w:hAnsi="Times New Roman"/>
                <w:sz w:val="12"/>
                <w:szCs w:val="12"/>
              </w:rPr>
            </w:pPr>
            <w:r>
              <w:rPr>
                <w:sz w:val="12"/>
                <w:szCs w:val="12"/>
              </w:rPr>
            </w:r>
          </w:p>
          <w:p>
            <w:pPr>
              <w:pStyle w:val="Normal"/>
              <w:bidi w:val="0"/>
              <w:ind w:start="0" w:end="0" w:hanging="0"/>
              <w:rPr>
                <w:rFonts w:ascii="Times New Roman" w:hAnsi="Times New Roman"/>
                <w:sz w:val="12"/>
                <w:szCs w:val="12"/>
              </w:rPr>
            </w:pPr>
            <w:r>
              <w:rPr>
                <w:sz w:val="12"/>
                <w:szCs w:val="12"/>
              </w:rPr>
            </w:r>
          </w:p>
        </w:tc>
        <w:tc>
          <w:tcPr>
            <w:tcW w:w="20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(N° de modificaciones de contrato revisadas en un plazo máximo de 8 días hábiles/N° total de modificaciones de contrato ingresadas en el año t )*100</w:t>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79 %</w:t>
            </w:r>
          </w:p>
          <w:p>
            <w:pPr>
              <w:pStyle w:val="Normal"/>
              <w:bidi w:val="0"/>
              <w:ind w:start="0" w:end="0" w:hanging="0"/>
              <w:jc w:val="center"/>
              <w:rPr/>
            </w:pPr>
            <w:r>
              <w:rPr>
                <w:bCs/>
                <w:sz w:val="18"/>
                <w:szCs w:val="18"/>
              </w:rPr>
              <w:t>(367/467)*100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74 %</w:t>
            </w:r>
          </w:p>
          <w:p>
            <w:pPr>
              <w:pStyle w:val="Normal"/>
              <w:bidi w:val="0"/>
              <w:ind w:start="0" w:end="0" w:hanging="0"/>
              <w:jc w:val="center"/>
              <w:rPr/>
            </w:pPr>
            <w:r>
              <w:rPr>
                <w:bCs/>
                <w:sz w:val="18"/>
                <w:szCs w:val="18"/>
              </w:rPr>
              <w:t>(287/389)*100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78 %</w:t>
            </w:r>
          </w:p>
          <w:p>
            <w:pPr>
              <w:pStyle w:val="Normal"/>
              <w:bidi w:val="0"/>
              <w:ind w:start="0" w:end="0" w:hanging="0"/>
              <w:jc w:val="center"/>
              <w:rPr/>
            </w:pPr>
            <w:r>
              <w:rPr>
                <w:bCs/>
                <w:sz w:val="18"/>
                <w:szCs w:val="18"/>
              </w:rPr>
              <w:t>(291/375)*100</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pPr>
            <w:r>
              <w:rPr>
                <w:bCs/>
                <w:sz w:val="18"/>
                <w:szCs w:val="18"/>
              </w:rPr>
              <w:t xml:space="preserve"> </w:t>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1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bCs/>
                <w:sz w:val="18"/>
                <w:szCs w:val="18"/>
              </w:rPr>
              <w:t>79  %</w:t>
            </w:r>
          </w:p>
          <w:p>
            <w:pPr>
              <w:pStyle w:val="Normal"/>
              <w:bidi w:val="0"/>
              <w:ind w:start="0" w:end="0" w:hanging="0"/>
              <w:jc w:val="center"/>
              <w:rPr/>
            </w:pPr>
            <w:r>
              <w:rPr>
                <w:bCs/>
                <w:sz w:val="18"/>
                <w:szCs w:val="18"/>
              </w:rPr>
              <w:t xml:space="preserve">(316/400)*100 </w:t>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p>
            <w:pPr>
              <w:pStyle w:val="Normal"/>
              <w:bidi w:val="0"/>
              <w:ind w:start="0" w:end="0" w:hanging="0"/>
              <w:jc w:val="center"/>
              <w:rPr>
                <w:rFonts w:ascii="Times New Roman" w:hAnsi="Times New Roman"/>
                <w:bCs/>
                <w:sz w:val="18"/>
                <w:szCs w:val="18"/>
              </w:rPr>
            </w:pPr>
            <w:r>
              <w:rPr>
                <w:bCs/>
                <w:sz w:val="18"/>
                <w:szCs w:val="18"/>
              </w:rPr>
            </w:r>
          </w:p>
        </w:tc>
        <w:tc>
          <w:tcPr>
            <w:tcW w:w="101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bidi w:val="0"/>
              <w:ind w:start="0" w:end="0" w:hanging="0"/>
              <w:jc w:val="center"/>
              <w:rPr/>
            </w:pPr>
            <w:r>
              <w:rPr>
                <w:sz w:val="18"/>
                <w:szCs w:val="18"/>
              </w:rPr>
              <w:t>7</w:t>
            </w:r>
          </w:p>
        </w:tc>
      </w:tr>
    </w:tbl>
    <w:p>
      <w:pPr>
        <w:pStyle w:val="Normal"/>
        <w:bidi w:val="0"/>
        <w:ind w:start="0" w:end="0" w:hanging="0"/>
        <w:jc w:val="both"/>
        <w:rPr/>
      </w:pPr>
      <w:r>
        <w:rPr/>
        <w:t xml:space="preserve"> </w:t>
      </w:r>
    </w:p>
    <w:p>
      <w:pPr>
        <w:pStyle w:val="Normal"/>
        <w:bidi w:val="0"/>
        <w:ind w:start="0" w:end="0" w:hanging="0"/>
        <w:jc w:val="both"/>
        <w:rPr/>
      </w:pPr>
      <w:r>
        <w:rPr>
          <w:sz w:val="18"/>
        </w:rPr>
        <w:t xml:space="preserve">Notas: </w:t>
      </w:r>
    </w:p>
    <w:p>
      <w:pPr>
        <w:pStyle w:val="Normal"/>
        <w:bidi w:val="0"/>
        <w:ind w:start="360" w:end="0" w:hanging="0"/>
        <w:jc w:val="both"/>
        <w:rPr/>
      </w:pPr>
      <w:r>
        <w:rPr>
          <w:sz w:val="18"/>
        </w:rPr>
        <w:t>1  El denominador corresponde al universo total de proyectos que tengan Resolución de Calificación Ambiental del MOP, que se encuentren en fase de construcción u operación, y Proyectos del MOP Sin Resolución de Calificación Ambiental, que hayan presentado una pertinencia en el SEIA. Existen proyectos prioritarios que requieren más de una fiscalización al año, dichas fiscalizaciones serán consideradas como independientes para la contabilización. Se podrá incluir proyectos que ya hayan sido fiscalizados ambientalmente, pero que no tengan cerrados sus procesos anteriores (con Observaciones y/o No Conformidades no resueltas). Además, se incluirán proyectos con Riesgo Socio Ambiental y Riesgo Arqueológico, los cuales, debido a la ejecución de las obras físicas, podrían generar una potencial afectación de un componente ambiental sensible. Para este caso, se utilizará el acta de Fiscalización Ambiental y se especificará la(s) componente(s) ambiental (es) que se fiscaliza. Por último, se podrán incluir proyectos fiscalizados por la Superintendencia del Medio Ambiente o algún organismo con competencia ambiental.</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 xml:space="preserve">2  La georreferenciación de contratos de obra se refiere a; expresar y/o almacenar la ubicación espacial de un contrato en la base de datos geográfica de la Infraestructura de Datos Espaciales del MOP (IDE MOP) y su publicación en la sección visor de contratos de obra del Geomop (http://www.geomop.cl/VisorObras/), pertenecientes a las cinco direcciones ejecutoras  del MOP (Dirección de Arquitectura, Dirección de Aeropuertos, Dirección de Obras Portuarias, Dirección de Obras Hidráulicas y la Dirección de Vialidad)                </w:t>
      </w:r>
    </w:p>
    <w:p>
      <w:pPr>
        <w:pStyle w:val="Normal"/>
        <w:bidi w:val="0"/>
        <w:ind w:start="360" w:end="0" w:hanging="0"/>
        <w:jc w:val="both"/>
        <w:rPr/>
      </w:pPr>
      <w:r>
        <w:rPr>
          <w:sz w:val="18"/>
        </w:rPr>
        <w:t xml:space="preserve">                </w:t>
      </w:r>
      <w:r>
        <w:rPr>
          <w:sz w:val="18"/>
        </w:rPr>
        <w:t xml:space="preserve">Se entenderá por contrato de obra publicable, el listado entregado mensualmente por el Sistema de Administración Financiera MOP(SAFI) con los contratos del Ítem presupuestario 31-02-004 correspondiente al reporte de Hacienda, y éstos deben tener georreferencia a efectos de su disponibilidad en el visor. Por otro lado y para la medición del indicador, el número de contrato de obra definido en la fórmula de calculo es equivalente al numero del total de obras definidos en el visor. Se accede al numerador y denominador  a través de botón de ayuda  del Visor de Contratos de Obras en GEOMOP (Medio de Verificación).                    </w:t>
      </w:r>
    </w:p>
    <w:p>
      <w:pPr>
        <w:pStyle w:val="Normal"/>
        <w:bidi w:val="0"/>
        <w:ind w:start="360" w:end="0" w:hanging="0"/>
        <w:jc w:val="both"/>
        <w:rPr/>
      </w:pPr>
      <w:r>
        <w:rPr>
          <w:sz w:val="18"/>
        </w:rPr>
        <w:t xml:space="preserve">        </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 xml:space="preserve">3  Las variables del indicador están sujetas a las siguientes condiciones:         </w:t>
      </w:r>
    </w:p>
    <w:p>
      <w:pPr>
        <w:pStyle w:val="Normal"/>
        <w:bidi w:val="0"/>
        <w:ind w:start="360" w:end="0" w:hanging="0"/>
        <w:jc w:val="both"/>
        <w:rPr/>
      </w:pPr>
      <w:r>
        <w:rPr>
          <w:sz w:val="18"/>
        </w:rPr>
        <w:t xml:space="preserve">        </w:t>
      </w:r>
      <w:r>
        <w:rPr>
          <w:sz w:val="18"/>
        </w:rPr>
        <w:t>?</w:t>
        <w:tab/>
        <w:t xml:space="preserve">Tasa de accidentalidad &gt;= 2.5%        </w:t>
      </w:r>
    </w:p>
    <w:p>
      <w:pPr>
        <w:pStyle w:val="Normal"/>
        <w:bidi w:val="0"/>
        <w:ind w:start="360" w:end="0" w:hanging="0"/>
        <w:jc w:val="both"/>
        <w:rPr/>
      </w:pPr>
      <w:r>
        <w:rPr>
          <w:sz w:val="18"/>
        </w:rPr>
        <w:t xml:space="preserve">        </w:t>
      </w:r>
      <w:r>
        <w:rPr>
          <w:sz w:val="18"/>
        </w:rPr>
        <w:t>?</w:t>
        <w:tab/>
        <w:t xml:space="preserve">Contratos con plazo contractual  &gt;= 120 días                </w:t>
      </w:r>
    </w:p>
    <w:p>
      <w:pPr>
        <w:pStyle w:val="Normal"/>
        <w:bidi w:val="0"/>
        <w:ind w:start="360" w:end="0" w:hanging="0"/>
        <w:jc w:val="both"/>
        <w:rPr/>
      </w:pPr>
      <w:r>
        <w:rPr>
          <w:sz w:val="18"/>
        </w:rPr>
        <w:t xml:space="preserve">        </w:t>
      </w:r>
      <w:r>
        <w:rPr>
          <w:sz w:val="18"/>
        </w:rPr>
        <w:t>?</w:t>
        <w:tab/>
        <w:t xml:space="preserve">N°  trabajadores en el contrato &gt;= 25         </w:t>
      </w:r>
    </w:p>
    <w:p>
      <w:pPr>
        <w:pStyle w:val="Normal"/>
        <w:bidi w:val="0"/>
        <w:ind w:start="360" w:end="0" w:hanging="0"/>
        <w:jc w:val="both"/>
        <w:rPr/>
      </w:pPr>
      <w:r>
        <w:rPr>
          <w:sz w:val="18"/>
        </w:rPr>
        <w:t xml:space="preserve">        </w:t>
      </w:r>
      <w:r>
        <w:rPr>
          <w:sz w:val="18"/>
        </w:rPr>
        <w:t>?</w:t>
        <w:tab/>
        <w:t xml:space="preserve">El contrato debe mantener obras en ejecución por un plazo &gt;= 90 días,  a contar de la fecha de proceso de la información en el Depto. de Prevención de Riesgos MOP.        </w:t>
      </w:r>
    </w:p>
    <w:p>
      <w:pPr>
        <w:pStyle w:val="Normal"/>
        <w:bidi w:val="0"/>
        <w:ind w:start="360" w:end="0" w:hanging="0"/>
        <w:jc w:val="both"/>
        <w:rPr/>
      </w:pPr>
      <w:r>
        <w:rPr>
          <w:sz w:val="18"/>
        </w:rPr>
        <w:t xml:space="preserve">                </w:t>
      </w:r>
    </w:p>
    <w:p>
      <w:pPr>
        <w:pStyle w:val="Normal"/>
        <w:bidi w:val="0"/>
        <w:ind w:start="360" w:end="0" w:hanging="0"/>
        <w:jc w:val="both"/>
        <w:rPr/>
      </w:pPr>
      <w:r>
        <w:rPr>
          <w:sz w:val="18"/>
        </w:rPr>
        <w:t xml:space="preserve">        </w:t>
      </w:r>
      <w:r>
        <w:rPr>
          <w:sz w:val="18"/>
        </w:rPr>
        <w:t xml:space="preserve">Las fiscalizaciones se harán en forma efectiva hasta el  31 de noviembre 2021, con la información recibida de los Inspectores Fiscales hasta el 30 de octubre del 2021.         </w:t>
      </w:r>
    </w:p>
    <w:p>
      <w:pPr>
        <w:pStyle w:val="Normal"/>
        <w:bidi w:val="0"/>
        <w:ind w:start="360" w:end="0" w:hanging="0"/>
        <w:jc w:val="both"/>
        <w:rPr/>
      </w:pPr>
      <w:r>
        <w:rPr>
          <w:sz w:val="18"/>
        </w:rPr>
        <w:t xml:space="preserve">        </w:t>
      </w:r>
      <w:r>
        <w:rPr>
          <w:sz w:val="18"/>
        </w:rPr>
        <w:t xml:space="preserve">Las fiscalizaciones de diciembre no se consideran, toda vez que la información que llega en noviembre (un mes vencido) debe ser analizada y depurada. En consecuencia, el resultado de la información de hallazgos y su posterior corrección en las obras, se pude extender hacia fines de enero 2022.        </w:t>
      </w:r>
    </w:p>
    <w:p>
      <w:pPr>
        <w:pStyle w:val="Normal"/>
        <w:bidi w:val="0"/>
        <w:ind w:start="360" w:end="0" w:hanging="0"/>
        <w:jc w:val="both"/>
        <w:rPr/>
      </w:pPr>
      <w:r>
        <w:rPr>
          <w:sz w:val="18"/>
        </w:rPr>
        <w:t xml:space="preserve">        </w:t>
      </w:r>
      <w:r>
        <w:rPr>
          <w:sz w:val="18"/>
        </w:rPr>
        <w:t xml:space="preserve">Por lo anterior, las fiscalizaciones del mes de diciembre de 2021, quedarán de arrastre y se  considerarán como parte del alcance del indicador del año 2022.        </w:t>
      </w:r>
    </w:p>
    <w:p>
      <w:pPr>
        <w:pStyle w:val="Normal"/>
        <w:bidi w:val="0"/>
        <w:ind w:start="360" w:end="0" w:hanging="0"/>
        <w:jc w:val="both"/>
        <w:rPr/>
      </w:pPr>
      <w:r>
        <w:rPr>
          <w:sz w:val="18"/>
        </w:rPr>
        <w:t xml:space="preserve">        </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 xml:space="preserve">4  El denominador corresponde al universo total de proyectos que tengan Resolución de Calificación Ambiental del MOP y que se encuentren en fase de construcción (informada a la Superintendencia del Medio Ambiente - SMA). Existen proyectos prioritarios que requieren más de una fiscalización al año. Dichas fiscalizaciones serán consideradas como independientes para la contabilización. La identificación de estos proyectos se realizará al inicio del período de medición del indicador. Se podrá incluir proyectos que ya hayan sido fiscalizados ambientalmente, pero que no tengan cerrados sus procesos (con Observaciones y/o No Conformidades no resueltas). Se incluirán proyectos fiscalizados, con solicitud de antecedentes  y sancionados por la Superintendencia del Medio Ambiente y/u otro organismo con Competencia Ambiental.        </w:t>
      </w:r>
    </w:p>
    <w:p>
      <w:pPr>
        <w:pStyle w:val="Normal"/>
        <w:bidi w:val="0"/>
        <w:ind w:start="360" w:end="0" w:hanging="0"/>
        <w:jc w:val="both"/>
        <w:rPr/>
      </w:pPr>
      <w:r>
        <w:rPr>
          <w:sz w:val="18"/>
        </w:rPr>
        <w:t xml:space="preserve">        </w:t>
      </w:r>
      <w:r>
        <w:rPr>
          <w:sz w:val="18"/>
        </w:rPr>
        <w:t xml:space="preserve">Además se incluirán proyectos con Riesgo Socio Ambiental, los cuales tienen relación con la afectación de un componente ambiental sensible, y que debido a la ejecución de las obras físicas puede ser afectado . Para este caso se utilizara un acta de Fiscalización Ambiental, donde se especifique la(s) componente(s) ambiental (s) posiblemente afectada.        </w:t>
      </w:r>
    </w:p>
    <w:p>
      <w:pPr>
        <w:pStyle w:val="Normal"/>
        <w:bidi w:val="0"/>
        <w:ind w:start="360" w:end="0" w:hanging="0"/>
        <w:jc w:val="both"/>
        <w:rPr/>
      </w:pPr>
      <w:r>
        <w:rPr>
          <w:sz w:val="18"/>
        </w:rPr>
        <w:t xml:space="preserve">                </w:t>
      </w:r>
    </w:p>
    <w:p>
      <w:pPr>
        <w:pStyle w:val="Normal"/>
        <w:bidi w:val="0"/>
        <w:ind w:start="360" w:end="0" w:hanging="0"/>
        <w:jc w:val="both"/>
        <w:rPr/>
      </w:pPr>
      <w:r>
        <w:rPr>
          <w:sz w:val="18"/>
        </w:rPr>
        <w:t xml:space="preserve">        </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 xml:space="preserve">5  Los Contratistas y Consultores deben generar su proceso de Inscripción según lo estipula el marco normativo (D.S MOP N°75/2004 y D.S MOP N°48/94), entregando la información y documentación pertinente a través de solicitudes generadas en forma digital en la plataforma www.mercadopublico.cl, vínculo "Gestionar Registro MOP".  Una vez recibidas conformes las solicitudes, se da inicio al proceso de tramitación de la solicitud, procediéndose a realizar los análisis técnicos, legales y contables en las áreas de la Dirección General de Obras Públicas, Fiscalía y Dirección de Contabilidad y Finanzas respectivamente. Lo que constituye un estándar de exigencia mínima del MOP, para inscribirse en el Registro de Contratistas y Consultores MOP.                </w:t>
      </w:r>
    </w:p>
    <w:p>
      <w:pPr>
        <w:pStyle w:val="Normal"/>
        <w:bidi w:val="0"/>
        <w:ind w:start="360" w:end="0" w:hanging="0"/>
        <w:jc w:val="both"/>
        <w:rPr/>
      </w:pPr>
      <w:r>
        <w:rPr>
          <w:sz w:val="18"/>
        </w:rPr>
        <w:t xml:space="preserve">        </w:t>
      </w:r>
      <w:r>
        <w:rPr>
          <w:sz w:val="18"/>
        </w:rPr>
        <w:t xml:space="preserve">Así, dicho estándar se define de la siguiente manera según la categoría que corresponda:                 </w:t>
      </w:r>
    </w:p>
    <w:p>
      <w:pPr>
        <w:pStyle w:val="Normal"/>
        <w:bidi w:val="0"/>
        <w:ind w:start="360" w:end="0" w:hanging="0"/>
        <w:jc w:val="both"/>
        <w:rPr/>
      </w:pPr>
      <w:r>
        <w:rPr>
          <w:sz w:val="18"/>
        </w:rPr>
        <w:t xml:space="preserve">              </w:t>
      </w:r>
      <w:r>
        <w:rPr>
          <w:sz w:val="18"/>
        </w:rPr>
        <w:t xml:space="preserve">-  Consultores 3era categoría persona natural: ámbito técnico          </w:t>
      </w:r>
    </w:p>
    <w:p>
      <w:pPr>
        <w:pStyle w:val="Normal"/>
        <w:bidi w:val="0"/>
        <w:ind w:start="360" w:end="0" w:hanging="0"/>
        <w:jc w:val="both"/>
        <w:rPr/>
      </w:pPr>
      <w:r>
        <w:rPr>
          <w:sz w:val="18"/>
        </w:rPr>
        <w:t xml:space="preserve">              </w:t>
      </w:r>
      <w:r>
        <w:rPr>
          <w:sz w:val="18"/>
        </w:rPr>
        <w:t xml:space="preserve">-  Consultores categoría superiores (personas jurídicas): ámbito técnico y legal (condicionado a la respuesta satisfactoria de por parte de fiscalía)         </w:t>
      </w:r>
    </w:p>
    <w:p>
      <w:pPr>
        <w:pStyle w:val="Normal"/>
        <w:bidi w:val="0"/>
        <w:ind w:start="360" w:end="0" w:hanging="0"/>
        <w:jc w:val="both"/>
        <w:rPr/>
      </w:pPr>
      <w:r>
        <w:rPr>
          <w:sz w:val="18"/>
        </w:rPr>
        <w:t xml:space="preserve">              </w:t>
      </w:r>
      <w:r>
        <w:rPr>
          <w:sz w:val="18"/>
        </w:rPr>
        <w:t xml:space="preserve">-   Contratista persona natural:   ámbito técnico y contable (condicionado a la respuesta satisfactoria de por parte DCyF  respectivamente).         </w:t>
      </w:r>
    </w:p>
    <w:p>
      <w:pPr>
        <w:pStyle w:val="Normal"/>
        <w:bidi w:val="0"/>
        <w:ind w:start="360" w:end="0" w:hanging="0"/>
        <w:jc w:val="both"/>
        <w:rPr/>
      </w:pPr>
      <w:r>
        <w:rPr>
          <w:sz w:val="18"/>
        </w:rPr>
        <w:t xml:space="preserve">              </w:t>
      </w:r>
      <w:r>
        <w:rPr>
          <w:sz w:val="18"/>
        </w:rPr>
        <w:t xml:space="preserve">-   Contratistas todas las categoría (personas jurídicas): : ámbito técnico, legal y contable (condicionado a la respuesta satisfactoria de por parte de                          </w:t>
      </w:r>
    </w:p>
    <w:p>
      <w:pPr>
        <w:pStyle w:val="Normal"/>
        <w:bidi w:val="0"/>
        <w:ind w:start="360" w:end="0" w:hanging="0"/>
        <w:jc w:val="both"/>
        <w:rPr/>
      </w:pPr>
      <w:r>
        <w:rPr>
          <w:sz w:val="18"/>
        </w:rPr>
        <w:t xml:space="preserve">                  </w:t>
      </w:r>
      <w:r>
        <w:rPr>
          <w:sz w:val="18"/>
        </w:rPr>
        <w:t xml:space="preserve">fiscalía y DCyF  respectivamente).         </w:t>
      </w:r>
    </w:p>
    <w:p>
      <w:pPr>
        <w:pStyle w:val="Normal"/>
        <w:bidi w:val="0"/>
        <w:ind w:start="360" w:end="0" w:hanging="0"/>
        <w:jc w:val="both"/>
        <w:rPr/>
      </w:pPr>
      <w:r>
        <w:rPr>
          <w:sz w:val="18"/>
        </w:rPr>
        <w:t xml:space="preserve">                </w:t>
      </w:r>
    </w:p>
    <w:p>
      <w:pPr>
        <w:pStyle w:val="Normal"/>
        <w:bidi w:val="0"/>
        <w:ind w:start="360" w:end="0" w:hanging="0"/>
        <w:jc w:val="both"/>
        <w:rPr/>
      </w:pPr>
      <w:r>
        <w:rPr>
          <w:sz w:val="18"/>
        </w:rPr>
        <w:t xml:space="preserve">        </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 xml:space="preserve">6  El número de accidentes del  trabajo con tiempo perdido y el promedio de trabajadores que participan en los contratos, se obtiene de la información aportada por los inspectores fiscales a través de una planilla Excel,  la que mensualmente es enviada al Depto. de Prevención de Riesgos, teniendo como plazo hasta el quinto día hábil de mes siguiente para la carga de datos.        </w:t>
      </w:r>
    </w:p>
    <w:p>
      <w:pPr>
        <w:pStyle w:val="Normal"/>
        <w:bidi w:val="0"/>
        <w:ind w:start="360" w:end="0" w:hanging="0"/>
        <w:jc w:val="both"/>
        <w:rPr>
          <w:rFonts w:ascii="Times New Roman" w:hAnsi="Times New Roman"/>
          <w:sz w:val="18"/>
        </w:rPr>
      </w:pPr>
      <w:r>
        <w:rPr>
          <w:sz w:val="18"/>
        </w:rPr>
      </w:r>
    </w:p>
    <w:p>
      <w:pPr>
        <w:pStyle w:val="Normal"/>
        <w:bidi w:val="0"/>
        <w:ind w:start="360" w:end="0" w:hanging="0"/>
        <w:jc w:val="both"/>
        <w:rPr/>
      </w:pPr>
      <w:r>
        <w:rPr>
          <w:sz w:val="18"/>
        </w:rPr>
        <w:t xml:space="preserve">7  Las modificaciones de contrato corresponden a las resoluciones (Exentas o con Toma de Razón, según sea el caso) y que autorizan una determinada modificación de contrato. Es por esta razón que dichos procesos deben ser revisados rigurosamente en un plazo acotado menor o igual a 8 días hábiles, de manera de no afectar la ejecución oportuna de las obras y servicios. El proceso de revisión de los requisitos técnicos-administrativos-legales de las modificaciones de contrato deberá contar con el siguiente estándar: revisión de la resolución, precios unitarios, planos, cubicaciones, especificaciones técnicas, deflactación, que el Contratista esté en el Registro de Contratistas MOP, cumplimiento con los reglamentos MOP N° 75, N° 48 y N° 850, jurisprudencia de la Contraloría, Reglamento de Montos; Bases Tipo, Bases de Asesoría a la Inspección Fiscal, según corresponda. </w:t>
      </w:r>
    </w:p>
    <w:p>
      <w:pPr>
        <w:pStyle w:val="Normal"/>
        <w:bidi w:val="0"/>
        <w:ind w:start="360" w:end="0" w:hanging="0"/>
        <w:jc w:val="both"/>
        <w:rPr>
          <w:rFonts w:ascii="Times New Roman" w:hAnsi="Times New Roman"/>
          <w:sz w:val="18"/>
        </w:rPr>
      </w:pPr>
      <w:r>
        <w:rPr>
          <w:sz w:val="18"/>
        </w:rPr>
      </w:r>
    </w:p>
    <w:p>
      <w:pPr>
        <w:pStyle w:val="Normal"/>
        <w:bidi w:val="0"/>
        <w:ind w:start="0" w:end="0" w:hanging="0"/>
        <w:jc w:val="both"/>
        <w:rPr>
          <w:rFonts w:ascii="Times New Roman" w:hAnsi="Times New Roman"/>
          <w:sz w:val="18"/>
        </w:rPr>
      </w:pPr>
      <w:r>
        <w:rPr>
          <w:sz w:val="18"/>
        </w:rPr>
      </w:r>
    </w:p>
    <w:p>
      <w:pPr>
        <w:pStyle w:val="Normal"/>
        <w:bidi w:val="0"/>
        <w:ind w:start="0" w:end="0" w:hanging="0"/>
        <w:jc w:val="both"/>
        <w:rPr>
          <w:rFonts w:ascii="Times New Roman" w:hAnsi="Times New Roman"/>
          <w:sz w:val="18"/>
        </w:rPr>
      </w:pPr>
      <w:r>
        <w:rPr>
          <w:sz w:val="18"/>
        </w:rPr>
      </w:r>
    </w:p>
    <w:p>
      <w:pPr>
        <w:pStyle w:val="Normal"/>
        <w:bidi w:val="0"/>
        <w:ind w:start="0" w:end="0" w:hanging="0"/>
        <w:jc w:val="both"/>
        <w:rPr/>
      </w:pPr>
      <w:r>
        <w:rPr/>
        <w:t xml:space="preserve"> </w:t>
      </w:r>
    </w:p>
    <w:p>
      <w:pPr>
        <w:pStyle w:val="Normal"/>
        <w:bidi w:val="0"/>
        <w:ind w:start="0" w:end="0" w:hanging="0"/>
        <w:jc w:val="both"/>
        <w:rPr>
          <w:rFonts w:ascii="Times New Roman" w:hAnsi="Times New Roman"/>
          <w:sz w:val="18"/>
          <w:szCs w:val="18"/>
        </w:rPr>
      </w:pPr>
      <w:r>
        <w:rPr>
          <w:sz w:val="18"/>
          <w:szCs w:val="18"/>
        </w:rPr>
      </w:r>
    </w:p>
    <w:p>
      <w:pPr>
        <w:pStyle w:val="Normal"/>
        <w:bidi w:val="0"/>
        <w:ind w:start="0" w:end="0" w:hanging="0"/>
        <w:jc w:val="both"/>
        <w:rPr/>
      </w:pPr>
      <w:r>
        <w:rPr/>
      </w:r>
    </w:p>
    <w:sectPr>
      <w:headerReference w:type="default" r:id="rId2"/>
      <w:footerReference w:type="default" r:id="rId3"/>
      <w:type w:val="nextPage"/>
      <w:pgSz w:orient="landscape" w:w="15840" w:h="12240"/>
      <w:pgMar w:left="600" w:right="600" w:header="708" w:top="765" w:footer="708" w:bottom="765"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mbria">
    <w:charset w:val="00" w:characterSet="iso-8859-1"/>
    <w:family w:val="roman"/>
    <w:pitch w:val="variable"/>
  </w:font>
  <w:font w:name="Liberation Sans">
    <w:altName w:val="Arial"/>
    <w:charset w:val="00" w:characterSet="iso-8859-1"/>
    <w:family w:val="swiss"/>
    <w:pitch w:val="variable"/>
  </w:font>
  <w:font w:name="Times New Roman">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tabs>
        <w:tab w:val="center" w:pos="4320" w:leader="none"/>
        <w:tab w:val="right" w:pos="8640" w:leader="none"/>
      </w:tabs>
      <w:bidi w:val="0"/>
      <w:ind w:start="0" w:end="360" w:hanging="0"/>
      <w:jc w:val="start"/>
      <w:textAlignment w:val="auto"/>
      <w:rPr>
        <w:rFonts w:ascii="Times New Roman" w:hAnsi="Times New Roman" w:cs="Times New Roman"/>
        <w:sz w:val="24"/>
        <w:szCs w:val="24"/>
        <w:lang w:val="es-ES" w:eastAsia="es-ES" w:bidi="ar-SA"/>
      </w:rPr>
    </w:pPr>
    <w:r>
      <w:rPr>
        <w:rFonts w:cs="Times New Roman"/>
        <w:sz w:val="24"/>
        <w:szCs w:val="24"/>
        <w:lang w:val="es-ES" w:eastAsia="es-ES" w:bidi="ar-SA"/>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76835" cy="175260"/>
              <wp:effectExtent l="0" t="0" r="0" b="0"/>
              <wp:wrapTopAndBottom/>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widowControl/>
                            <w:pBdr/>
                            <w:tabs>
                              <w:tab w:val="center" w:pos="4320" w:leader="none"/>
                              <w:tab w:val="right" w:pos="8640" w:leader="none"/>
                            </w:tabs>
                            <w:bidi w:val="0"/>
                            <w:ind w:start="0" w:end="0" w:hanging="0"/>
                            <w:jc w:val="start"/>
                            <w:textAlignment w:val="auto"/>
                            <w:rPr/>
                          </w:pPr>
                          <w:r>
                            <w:rPr>
                              <w:rStyle w:val="Pagenumber"/>
                              <w:rFonts w:cs="Times New Roman"/>
                              <w:sz w:val="24"/>
                              <w:szCs w:val="24"/>
                              <w:lang w:val="en-US" w:eastAsia="en-US" w:bidi="ar-SA"/>
                            </w:rPr>
                            <w:fldChar w:fldCharType="begin"/>
                          </w:r>
                          <w:r>
                            <w:rPr>
                              <w:rStyle w:val="Pagenumber"/>
                              <w:sz w:val="24"/>
                              <w:szCs w:val="24"/>
                              <w:rFonts w:cs="Times New Roman"/>
                            </w:rPr>
                            <w:instrText> PAGE </w:instrText>
                          </w:r>
                          <w:r>
                            <w:rPr>
                              <w:rStyle w:val="Pagenumber"/>
                              <w:sz w:val="24"/>
                              <w:szCs w:val="24"/>
                              <w:rFonts w:cs="Times New Roman"/>
                            </w:rPr>
                            <w:fldChar w:fldCharType="separate"/>
                          </w:r>
                          <w:r>
                            <w:rPr>
                              <w:rStyle w:val="Pagenumber"/>
                              <w:sz w:val="24"/>
                              <w:szCs w:val="24"/>
                              <w:rFonts w:cs="Times New Roman"/>
                            </w:rPr>
                            <w:t>4</w:t>
                          </w:r>
                          <w:r>
                            <w:rPr>
                              <w:rStyle w:val="Pagenumber"/>
                              <w:sz w:val="24"/>
                              <w:szCs w:val="24"/>
                              <w:rFonts w:cs="Times New Roman"/>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pt;mso-position-vertical-relative:text;margin-left:725.95pt;mso-position-horizontal:right;mso-position-horizontal-relative:margin">
              <v:fill opacity="0f"/>
              <v:textbox inset="0in,0in,0in,0in">
                <w:txbxContent>
                  <w:p>
                    <w:pPr>
                      <w:pStyle w:val="Footer"/>
                      <w:widowControl/>
                      <w:pBdr/>
                      <w:tabs>
                        <w:tab w:val="center" w:pos="4320" w:leader="none"/>
                        <w:tab w:val="right" w:pos="8640" w:leader="none"/>
                      </w:tabs>
                      <w:bidi w:val="0"/>
                      <w:ind w:start="0" w:end="0" w:hanging="0"/>
                      <w:jc w:val="start"/>
                      <w:textAlignment w:val="auto"/>
                      <w:rPr/>
                    </w:pPr>
                    <w:r>
                      <w:rPr>
                        <w:rStyle w:val="Pagenumber"/>
                        <w:rFonts w:cs="Times New Roman"/>
                        <w:sz w:val="24"/>
                        <w:szCs w:val="24"/>
                        <w:lang w:val="en-US" w:eastAsia="en-US" w:bidi="ar-SA"/>
                      </w:rPr>
                      <w:fldChar w:fldCharType="begin"/>
                    </w:r>
                    <w:r>
                      <w:rPr>
                        <w:rStyle w:val="Pagenumber"/>
                        <w:sz w:val="24"/>
                        <w:szCs w:val="24"/>
                        <w:rFonts w:cs="Times New Roman"/>
                      </w:rPr>
                      <w:instrText> PAGE </w:instrText>
                    </w:r>
                    <w:r>
                      <w:rPr>
                        <w:rStyle w:val="Pagenumber"/>
                        <w:sz w:val="24"/>
                        <w:szCs w:val="24"/>
                        <w:rFonts w:cs="Times New Roman"/>
                      </w:rPr>
                      <w:fldChar w:fldCharType="separate"/>
                    </w:r>
                    <w:r>
                      <w:rPr>
                        <w:rStyle w:val="Pagenumber"/>
                        <w:sz w:val="24"/>
                        <w:szCs w:val="24"/>
                        <w:rFonts w:cs="Times New Roman"/>
                      </w:rPr>
                      <w:t>4</w:t>
                    </w:r>
                    <w:r>
                      <w:rPr>
                        <w:rStyle w:val="Pagenumber"/>
                        <w:sz w:val="24"/>
                        <w:szCs w:val="24"/>
                        <w:rFonts w:cs="Times New Roman"/>
                      </w:rPr>
                      <w:fldChar w:fldCharType="end"/>
                    </w:r>
                  </w:p>
                </w:txbxContent>
              </v:textbox>
              <w10:wrap type="topAndBottom"/>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tabs>
        <w:tab w:val="center" w:pos="4320" w:leader="none"/>
        <w:tab w:val="right" w:pos="8640" w:leader="none"/>
      </w:tabs>
      <w:bidi w:val="0"/>
      <w:ind w:start="0" w:end="0" w:hanging="0"/>
      <w:jc w:val="start"/>
      <w:textAlignment w:val="auto"/>
      <w:rPr>
        <w:rFonts w:ascii="Times New Roman" w:hAnsi="Times New Roman" w:cs="Times New Roman"/>
        <w:sz w:val="24"/>
        <w:szCs w:val="24"/>
        <w:lang w:val="es-ES" w:eastAsia="es-ES" w:bidi="ar-SA"/>
      </w:rPr>
    </w:pPr>
    <w:r>
      <w:rPr>
        <w:rFonts w:cs="Times New Roman"/>
        <w:sz w:val="24"/>
        <w:szCs w:val="24"/>
        <w:lang w:val="es-ES" w:eastAsia="es-ES" w:bidi="ar-SA"/>
      </w:rP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Cs w:val="24"/>
        <w:lang w:val="en-US" w:eastAsia="zh-CN" w:bidi="hi-IN"/>
      </w:rPr>
    </w:rPrDefault>
    <w:pPrDefault>
      <w:pPr/>
    </w:pPrDefault>
  </w:docDefaults>
  <w:style w:type="paragraph" w:styleId="Normal">
    <w:name w:val="Normal"/>
    <w:qFormat/>
    <w:pPr>
      <w:widowControl/>
      <w:bidi w:val="0"/>
      <w:jc w:val="start"/>
      <w:textAlignment w:val="auto"/>
    </w:pPr>
    <w:rPr>
      <w:rFonts w:ascii="Times New Roman" w:hAnsi="Times New Roman" w:eastAsia="Cambria" w:cs="Times New Roman"/>
      <w:color w:val="auto"/>
      <w:kern w:val="2"/>
      <w:sz w:val="24"/>
      <w:szCs w:val="24"/>
      <w:lang w:val="es-ES" w:eastAsia="es-ES" w:bidi="ar-SA"/>
    </w:rPr>
  </w:style>
  <w:style w:type="paragraph" w:styleId="Heading1">
    <w:name w:val="Heading 1"/>
    <w:basedOn w:val="Normal"/>
    <w:qFormat/>
    <w:pPr>
      <w:keepNext w:val="true"/>
      <w:widowControl/>
      <w:jc w:val="center"/>
      <w:textAlignment w:val="auto"/>
      <w:outlineLvl w:val="0"/>
    </w:pPr>
    <w:rPr>
      <w:rFonts w:cs="Times New Roman"/>
      <w:sz w:val="16"/>
      <w:szCs w:val="16"/>
      <w:u w:val="single"/>
      <w:lang w:val="es-ES" w:eastAsia="es-ES" w:bidi="ar-SA"/>
    </w:rPr>
  </w:style>
  <w:style w:type="character" w:styleId="DefaultParagraphFont">
    <w:name w:val="Default Paragraph Font"/>
    <w:qFormat/>
    <w:rPr/>
  </w:style>
  <w:style w:type="character" w:styleId="Ttulo1Car">
    <w:name w:val="Título 1 Car"/>
    <w:basedOn w:val="DefaultParagraphFont"/>
    <w:qFormat/>
    <w:rPr>
      <w:rFonts w:ascii="Cambria" w:hAnsi="Cambria" w:cs="Times New Roman"/>
      <w:b/>
      <w:bCs/>
      <w:kern w:val="2"/>
      <w:sz w:val="32"/>
      <w:szCs w:val="32"/>
      <w:lang w:val="es-ES" w:eastAsia="es-ES"/>
    </w:rPr>
  </w:style>
  <w:style w:type="character" w:styleId="EncabezadoCar">
    <w:name w:val="Encabezado Car"/>
    <w:basedOn w:val="DefaultParagraphFont"/>
    <w:qFormat/>
    <w:rPr>
      <w:rFonts w:cs="Times New Roman"/>
      <w:sz w:val="24"/>
      <w:szCs w:val="24"/>
      <w:lang w:val="es-ES" w:eastAsia="es-ES"/>
    </w:rPr>
  </w:style>
  <w:style w:type="character" w:styleId="PiedepginaCar">
    <w:name w:val="Pie de página Car"/>
    <w:basedOn w:val="DefaultParagraphFont"/>
    <w:qFormat/>
    <w:rPr>
      <w:rFonts w:cs="Times New Roman"/>
      <w:sz w:val="24"/>
      <w:szCs w:val="24"/>
      <w:lang w:val="es-ES" w:eastAsia="es-ES"/>
    </w:rPr>
  </w:style>
  <w:style w:type="character" w:styleId="Pagenumber">
    <w:name w:val="page number"/>
    <w:basedOn w:val="DefaultParagraphFont"/>
    <w:qFormat/>
    <w:rPr>
      <w:rFonts w:cs="Times New Roman"/>
    </w:rPr>
  </w:style>
  <w:style w:type="character" w:styleId="TextoindependienteCar">
    <w:name w:val="Texto independiente Car"/>
    <w:basedOn w:val="DefaultParagraphFont"/>
    <w:qFormat/>
    <w:rPr>
      <w:rFonts w:cs="Times New Roman"/>
      <w:sz w:val="24"/>
      <w:szCs w:val="24"/>
      <w:lang w:val="es-ES" w:eastAsia="es-ES"/>
    </w:rPr>
  </w:style>
  <w:style w:type="character" w:styleId="Textoindependiente2Car">
    <w:name w:val="Texto independiente 2 Car"/>
    <w:basedOn w:val="DefaultParagraphFont"/>
    <w:qFormat/>
    <w:rPr>
      <w:rFonts w:cs="Times New Roman"/>
      <w:sz w:val="24"/>
      <w:szCs w:val="24"/>
      <w:lang w:val="es-ES" w:eastAsia="es-ES"/>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widowControl/>
      <w:jc w:val="center"/>
      <w:textAlignment w:val="auto"/>
    </w:pPr>
    <w:rPr>
      <w:rFonts w:cs="Times New Roman"/>
      <w:sz w:val="18"/>
      <w:szCs w:val="18"/>
      <w:lang w:val="es-ES" w:eastAsia="es-ES" w:bidi="ar-SA"/>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56" w:before="0" w:after="160"/>
      <w:jc w:val="start"/>
      <w:textAlignment w:val="auto"/>
    </w:pPr>
    <w:rPr>
      <w:rFonts w:ascii="Times New Roman" w:hAnsi="Times New Roman" w:eastAsia="Cambria" w:cs="Times New Roman"/>
      <w:color w:val="auto"/>
      <w:kern w:val="2"/>
      <w:sz w:val="22"/>
      <w:szCs w:val="22"/>
      <w:lang w:val="es-CL" w:eastAsia="es-CL" w:bidi="ar-SA"/>
    </w:rPr>
  </w:style>
  <w:style w:type="paragraph" w:styleId="Header">
    <w:name w:val="Header"/>
    <w:basedOn w:val="Normal"/>
    <w:pPr>
      <w:widowControl/>
      <w:tabs>
        <w:tab w:val="clear" w:pos="708"/>
        <w:tab w:val="center" w:pos="4320" w:leader="none"/>
        <w:tab w:val="right" w:pos="8640" w:leader="none"/>
      </w:tabs>
      <w:jc w:val="start"/>
      <w:textAlignment w:val="auto"/>
    </w:pPr>
    <w:rPr>
      <w:rFonts w:cs="Times New Roman"/>
      <w:sz w:val="24"/>
      <w:szCs w:val="24"/>
      <w:lang w:val="es-ES" w:eastAsia="es-ES" w:bidi="ar-SA"/>
    </w:rPr>
  </w:style>
  <w:style w:type="paragraph" w:styleId="Footer">
    <w:name w:val="Footer"/>
    <w:basedOn w:val="Normal"/>
    <w:pPr>
      <w:widowControl/>
      <w:tabs>
        <w:tab w:val="clear" w:pos="708"/>
        <w:tab w:val="center" w:pos="4320" w:leader="none"/>
        <w:tab w:val="right" w:pos="8640" w:leader="none"/>
      </w:tabs>
      <w:jc w:val="start"/>
      <w:textAlignment w:val="auto"/>
    </w:pPr>
    <w:rPr>
      <w:rFonts w:cs="Times New Roman"/>
      <w:sz w:val="24"/>
      <w:szCs w:val="24"/>
      <w:lang w:val="es-ES" w:eastAsia="es-ES" w:bidi="ar-SA"/>
    </w:rPr>
  </w:style>
  <w:style w:type="paragraph" w:styleId="BodyText2">
    <w:name w:val="Body Text 2"/>
    <w:basedOn w:val="Normal"/>
    <w:qFormat/>
    <w:pPr>
      <w:widowControl/>
      <w:jc w:val="center"/>
      <w:textAlignment w:val="auto"/>
    </w:pPr>
    <w:rPr>
      <w:rFonts w:cs="Times New Roman"/>
      <w:sz w:val="16"/>
      <w:szCs w:val="16"/>
      <w:u w:val="single"/>
      <w:lang w:val="es-ES" w:eastAsia="es-ES" w:bidi="ar-SA"/>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1890</Words>
  <Characters>12267</Characters>
  <CharactersWithSpaces>10401</CharactersWithSpaces>
  <Company>Dipres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2021-06-02T15:25:00Z</dcterms:created>
  <dc:creator>AFA</dc:creator>
  <dc:description/>
  <dc:language>en-US</dc:language>
  <cp:lastModifiedBy/>
  <dcterms:modified xsi:type="dcterms:W3CDTF">2021-06-02T15:25:00Z</dcterms:modified>
  <cp:revision>2</cp:revision>
  <dc:subject/>
  <dc:title>INDICADORES DE DESEMPEÑO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Dipres</vt:lpwstr>
  </property>
  <property fmtid="{D5CDD505-2E9C-101B-9397-08002B2CF9AE}" pid="3" name="Operator">
    <vt:lpwstr>Alexis Salgado Bravo (SOP)</vt:lpwstr>
  </property>
</Properties>
</file>