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DEC" w:rsidRDefault="00ED2DEC">
      <w:pPr>
        <w:jc w:val="center"/>
        <w:rPr>
          <w:b/>
          <w:bCs/>
          <w:sz w:val="28"/>
          <w:szCs w:val="28"/>
        </w:rPr>
      </w:pPr>
      <w:bookmarkStart w:id="0" w:name="_GoBack"/>
      <w:bookmarkEnd w:id="0"/>
    </w:p>
    <w:p w:rsidR="00ED2DEC" w:rsidRDefault="004430DC">
      <w:pPr>
        <w:jc w:val="center"/>
        <w:rPr>
          <w:b/>
          <w:bCs/>
          <w:sz w:val="28"/>
          <w:szCs w:val="28"/>
        </w:rPr>
      </w:pPr>
      <w:r>
        <w:rPr>
          <w:b/>
          <w:bCs/>
          <w:sz w:val="28"/>
          <w:szCs w:val="28"/>
        </w:rPr>
        <w:t>INDICADORES DE DESEMPEÑO</w:t>
      </w:r>
      <w:r w:rsidR="00ED2DEC">
        <w:rPr>
          <w:b/>
          <w:bCs/>
          <w:sz w:val="28"/>
          <w:szCs w:val="28"/>
        </w:rPr>
        <w:t xml:space="preserve"> AÑO 2022</w:t>
      </w:r>
    </w:p>
    <w:p w:rsidR="00ED2DEC" w:rsidRDefault="00ED2DEC">
      <w:pPr>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27"/>
        <w:gridCol w:w="9677"/>
        <w:gridCol w:w="1399"/>
        <w:gridCol w:w="2097"/>
      </w:tblGrid>
      <w:tr w:rsidR="00ED2DEC">
        <w:tblPrEx>
          <w:tblCellMar>
            <w:top w:w="0" w:type="dxa"/>
            <w:bottom w:w="0" w:type="dxa"/>
          </w:tblCellMar>
        </w:tblPrEx>
        <w:tc>
          <w:tcPr>
            <w:tcW w:w="1527" w:type="dxa"/>
            <w:shd w:val="clear" w:color="auto" w:fill="999999"/>
          </w:tcPr>
          <w:p w:rsidR="00ED2DEC" w:rsidRDefault="00ED2DEC">
            <w:pPr>
              <w:jc w:val="center"/>
            </w:pPr>
            <w:r>
              <w:t>MINISTERIO</w:t>
            </w:r>
          </w:p>
        </w:tc>
        <w:tc>
          <w:tcPr>
            <w:tcW w:w="9677" w:type="dxa"/>
          </w:tcPr>
          <w:p w:rsidR="00ED2DEC" w:rsidRDefault="00ED2DEC">
            <w:pPr>
              <w:jc w:val="both"/>
            </w:pPr>
            <w:r>
              <w:t xml:space="preserve">MINISTERIO DE OBRAS PUBLICAS                                                     </w:t>
            </w:r>
          </w:p>
        </w:tc>
        <w:tc>
          <w:tcPr>
            <w:tcW w:w="1399" w:type="dxa"/>
            <w:shd w:val="clear" w:color="auto" w:fill="999999"/>
          </w:tcPr>
          <w:p w:rsidR="00ED2DEC" w:rsidRDefault="00ED2DEC">
            <w:pPr>
              <w:jc w:val="center"/>
            </w:pPr>
            <w:r>
              <w:t>PARTIDA</w:t>
            </w:r>
          </w:p>
        </w:tc>
        <w:tc>
          <w:tcPr>
            <w:tcW w:w="2097" w:type="dxa"/>
          </w:tcPr>
          <w:p w:rsidR="00ED2DEC" w:rsidRDefault="00ED2DEC">
            <w:pPr>
              <w:jc w:val="center"/>
            </w:pPr>
            <w:r>
              <w:t>12</w:t>
            </w:r>
          </w:p>
        </w:tc>
      </w:tr>
      <w:tr w:rsidR="00ED2DEC">
        <w:tblPrEx>
          <w:tblCellMar>
            <w:top w:w="0" w:type="dxa"/>
            <w:bottom w:w="0" w:type="dxa"/>
          </w:tblCellMar>
        </w:tblPrEx>
        <w:tc>
          <w:tcPr>
            <w:tcW w:w="1527" w:type="dxa"/>
            <w:shd w:val="clear" w:color="auto" w:fill="999999"/>
          </w:tcPr>
          <w:p w:rsidR="00ED2DEC" w:rsidRDefault="00ED2DEC">
            <w:pPr>
              <w:jc w:val="center"/>
            </w:pPr>
            <w:r>
              <w:t>SERVICIO</w:t>
            </w:r>
          </w:p>
        </w:tc>
        <w:tc>
          <w:tcPr>
            <w:tcW w:w="9677" w:type="dxa"/>
          </w:tcPr>
          <w:p w:rsidR="00ED2DEC" w:rsidRDefault="00ED2DEC">
            <w:pPr>
              <w:jc w:val="both"/>
            </w:pPr>
            <w:r>
              <w:t xml:space="preserve">DIRECCION DE ARQUITECTURA </w:t>
            </w:r>
          </w:p>
        </w:tc>
        <w:tc>
          <w:tcPr>
            <w:tcW w:w="1399" w:type="dxa"/>
            <w:shd w:val="clear" w:color="auto" w:fill="999999"/>
          </w:tcPr>
          <w:p w:rsidR="00ED2DEC" w:rsidRDefault="00ED2DEC">
            <w:pPr>
              <w:jc w:val="center"/>
            </w:pPr>
            <w:r>
              <w:t>CAPÍTULO</w:t>
            </w:r>
          </w:p>
        </w:tc>
        <w:tc>
          <w:tcPr>
            <w:tcW w:w="2097" w:type="dxa"/>
          </w:tcPr>
          <w:p w:rsidR="00ED2DEC" w:rsidRDefault="00ED2DEC">
            <w:pPr>
              <w:jc w:val="center"/>
            </w:pPr>
            <w:r>
              <w:t>02</w:t>
            </w:r>
          </w:p>
        </w:tc>
      </w:tr>
    </w:tbl>
    <w:p w:rsidR="00ED2DEC" w:rsidRDefault="00ED2DEC">
      <w:pPr>
        <w:jc w:val="center"/>
        <w:rPr>
          <w:b/>
          <w:bCs/>
          <w:sz w:val="28"/>
          <w:szCs w:val="28"/>
        </w:rPr>
      </w:pPr>
    </w:p>
    <w:p w:rsidR="00ED2DEC" w:rsidRDefault="00ED2DEC">
      <w:pPr>
        <w:jc w:val="center"/>
        <w:rPr>
          <w:b/>
          <w:bCs/>
          <w:sz w:val="28"/>
          <w:szCs w:val="28"/>
        </w:rPr>
      </w:pPr>
    </w:p>
    <w:tbl>
      <w:tblPr>
        <w:tblW w:w="14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5"/>
        <w:gridCol w:w="3474"/>
        <w:gridCol w:w="2026"/>
        <w:gridCol w:w="1158"/>
        <w:gridCol w:w="1158"/>
        <w:gridCol w:w="1158"/>
        <w:gridCol w:w="1158"/>
        <w:gridCol w:w="1158"/>
        <w:gridCol w:w="1013"/>
      </w:tblGrid>
      <w:tr w:rsidR="00AB13B9" w:rsidTr="00F46561">
        <w:tc>
          <w:tcPr>
            <w:tcW w:w="2028" w:type="dxa"/>
            <w:shd w:val="clear" w:color="auto" w:fill="999999"/>
            <w:vAlign w:val="center"/>
          </w:tcPr>
          <w:p w:rsidR="00F46561" w:rsidRDefault="00F46561" w:rsidP="00DD473A">
            <w:pPr>
              <w:jc w:val="center"/>
              <w:rPr>
                <w:b/>
                <w:bCs/>
                <w:sz w:val="18"/>
                <w:szCs w:val="18"/>
              </w:rPr>
            </w:pPr>
            <w:r>
              <w:rPr>
                <w:b/>
                <w:bCs/>
                <w:sz w:val="18"/>
                <w:szCs w:val="18"/>
              </w:rPr>
              <w:t>Producto Estratégico al que se Vincula</w:t>
            </w:r>
          </w:p>
        </w:tc>
        <w:tc>
          <w:tcPr>
            <w:tcW w:w="2880" w:type="dxa"/>
            <w:shd w:val="clear" w:color="auto" w:fill="999999"/>
            <w:vAlign w:val="center"/>
          </w:tcPr>
          <w:p w:rsidR="00F46561" w:rsidRDefault="00F46561" w:rsidP="00DD473A">
            <w:pPr>
              <w:jc w:val="center"/>
              <w:rPr>
                <w:b/>
                <w:bCs/>
                <w:sz w:val="18"/>
                <w:szCs w:val="18"/>
              </w:rPr>
            </w:pPr>
            <w:r>
              <w:rPr>
                <w:b/>
                <w:bCs/>
                <w:sz w:val="18"/>
                <w:szCs w:val="18"/>
              </w:rPr>
              <w:t>Indicador</w:t>
            </w:r>
          </w:p>
        </w:tc>
        <w:tc>
          <w:tcPr>
            <w:tcW w:w="1680" w:type="dxa"/>
            <w:shd w:val="clear" w:color="auto" w:fill="999999"/>
            <w:vAlign w:val="center"/>
          </w:tcPr>
          <w:p w:rsidR="00F46561" w:rsidRDefault="00F46561" w:rsidP="00DD473A">
            <w:pPr>
              <w:jc w:val="center"/>
              <w:rPr>
                <w:b/>
                <w:bCs/>
                <w:sz w:val="18"/>
                <w:szCs w:val="18"/>
              </w:rPr>
            </w:pPr>
            <w:r>
              <w:rPr>
                <w:b/>
                <w:bCs/>
                <w:sz w:val="18"/>
                <w:szCs w:val="18"/>
              </w:rPr>
              <w:t>Formula de Cálculo</w:t>
            </w:r>
          </w:p>
        </w:tc>
        <w:tc>
          <w:tcPr>
            <w:tcW w:w="960" w:type="dxa"/>
            <w:shd w:val="clear" w:color="auto" w:fill="999999"/>
            <w:vAlign w:val="center"/>
          </w:tcPr>
          <w:p w:rsidR="00F46561" w:rsidRDefault="00F46561" w:rsidP="00DD473A">
            <w:pPr>
              <w:jc w:val="center"/>
              <w:rPr>
                <w:b/>
                <w:bCs/>
                <w:sz w:val="18"/>
                <w:szCs w:val="18"/>
              </w:rPr>
            </w:pPr>
            <w:r>
              <w:rPr>
                <w:b/>
                <w:bCs/>
                <w:sz w:val="18"/>
                <w:szCs w:val="18"/>
              </w:rPr>
              <w:t>Efectivo 2018</w:t>
            </w:r>
          </w:p>
        </w:tc>
        <w:tc>
          <w:tcPr>
            <w:tcW w:w="960" w:type="dxa"/>
            <w:shd w:val="clear" w:color="auto" w:fill="999999"/>
            <w:vAlign w:val="center"/>
          </w:tcPr>
          <w:p w:rsidR="00F46561" w:rsidRDefault="00F46561" w:rsidP="00DD473A">
            <w:pPr>
              <w:jc w:val="center"/>
              <w:rPr>
                <w:b/>
                <w:bCs/>
                <w:sz w:val="18"/>
                <w:szCs w:val="18"/>
              </w:rPr>
            </w:pPr>
            <w:r>
              <w:rPr>
                <w:b/>
                <w:bCs/>
                <w:sz w:val="18"/>
                <w:szCs w:val="18"/>
              </w:rPr>
              <w:t>Efectivo 2019</w:t>
            </w:r>
          </w:p>
        </w:tc>
        <w:tc>
          <w:tcPr>
            <w:tcW w:w="960" w:type="dxa"/>
            <w:shd w:val="clear" w:color="auto" w:fill="999999"/>
            <w:vAlign w:val="center"/>
          </w:tcPr>
          <w:p w:rsidR="00F46561" w:rsidRDefault="00F46561" w:rsidP="00DD473A">
            <w:pPr>
              <w:jc w:val="center"/>
              <w:rPr>
                <w:b/>
                <w:bCs/>
                <w:sz w:val="18"/>
                <w:szCs w:val="18"/>
              </w:rPr>
            </w:pPr>
            <w:r>
              <w:rPr>
                <w:b/>
                <w:bCs/>
                <w:sz w:val="18"/>
                <w:szCs w:val="18"/>
              </w:rPr>
              <w:t>Efectivo 2020</w:t>
            </w:r>
          </w:p>
        </w:tc>
        <w:tc>
          <w:tcPr>
            <w:tcW w:w="960" w:type="dxa"/>
            <w:shd w:val="clear" w:color="auto" w:fill="999999"/>
            <w:vAlign w:val="center"/>
          </w:tcPr>
          <w:p w:rsidR="00F46561" w:rsidRDefault="00F46561" w:rsidP="00DD473A">
            <w:pPr>
              <w:jc w:val="center"/>
              <w:rPr>
                <w:b/>
                <w:bCs/>
                <w:sz w:val="18"/>
                <w:szCs w:val="18"/>
              </w:rPr>
            </w:pPr>
            <w:r>
              <w:rPr>
                <w:b/>
                <w:bCs/>
                <w:sz w:val="18"/>
                <w:szCs w:val="18"/>
              </w:rPr>
              <w:t>Efectivo a Junio 2021</w:t>
            </w:r>
          </w:p>
        </w:tc>
        <w:tc>
          <w:tcPr>
            <w:tcW w:w="960" w:type="dxa"/>
            <w:shd w:val="clear" w:color="auto" w:fill="999999"/>
            <w:vAlign w:val="center"/>
          </w:tcPr>
          <w:p w:rsidR="00F46561" w:rsidRDefault="00F46561" w:rsidP="00DD473A">
            <w:pPr>
              <w:jc w:val="center"/>
              <w:rPr>
                <w:b/>
                <w:bCs/>
                <w:sz w:val="18"/>
                <w:szCs w:val="18"/>
              </w:rPr>
            </w:pPr>
            <w:r>
              <w:rPr>
                <w:b/>
                <w:bCs/>
                <w:sz w:val="18"/>
                <w:szCs w:val="18"/>
              </w:rPr>
              <w:t>Meta 2022</w:t>
            </w:r>
          </w:p>
        </w:tc>
        <w:tc>
          <w:tcPr>
            <w:tcW w:w="840" w:type="dxa"/>
            <w:shd w:val="clear" w:color="auto" w:fill="999999"/>
            <w:vAlign w:val="center"/>
          </w:tcPr>
          <w:p w:rsidR="00F46561" w:rsidRDefault="00F46561" w:rsidP="00DD473A">
            <w:pPr>
              <w:jc w:val="center"/>
              <w:rPr>
                <w:b/>
                <w:bCs/>
                <w:sz w:val="18"/>
                <w:szCs w:val="18"/>
              </w:rPr>
            </w:pPr>
            <w:r>
              <w:rPr>
                <w:b/>
                <w:bCs/>
                <w:sz w:val="18"/>
                <w:szCs w:val="18"/>
              </w:rPr>
              <w:t>Notas</w:t>
            </w:r>
          </w:p>
        </w:tc>
      </w:tr>
      <w:tr w:rsidR="00AB13B9" w:rsidTr="00F46561">
        <w:tc>
          <w:tcPr>
            <w:tcW w:w="2028" w:type="dxa"/>
          </w:tcPr>
          <w:p w:rsidR="00F65F99" w:rsidRDefault="009857EC">
            <w:pPr>
              <w:rPr>
                <w:sz w:val="18"/>
                <w:szCs w:val="18"/>
              </w:rPr>
            </w:pPr>
            <w:r>
              <w:t xml:space="preserve"> </w:t>
            </w:r>
            <w:r w:rsidR="00F65F99">
              <w:rPr>
                <w:sz w:val="18"/>
                <w:szCs w:val="18"/>
              </w:rPr>
              <w:sym w:font="Symbol" w:char="F0B7"/>
            </w:r>
            <w:r w:rsidR="00F65F99">
              <w:rPr>
                <w:sz w:val="18"/>
                <w:szCs w:val="18"/>
              </w:rPr>
              <w:t xml:space="preserve">Servicios de Edificación Pública Patrimonial. </w:t>
            </w:r>
          </w:p>
          <w:p w:rsidR="00F65F99" w:rsidRDefault="009857EC">
            <w:pPr>
              <w:rPr>
                <w:i/>
                <w:sz w:val="14"/>
              </w:rPr>
            </w:pPr>
            <w:r>
              <w:t xml:space="preserve"> </w:t>
            </w:r>
            <w:r w:rsidR="00F65F99">
              <w:rPr>
                <w:i/>
                <w:sz w:val="14"/>
                <w:szCs w:val="14"/>
              </w:rPr>
              <w:sym w:font="Times New Roman" w:char="00B7"/>
            </w:r>
          </w:p>
          <w:p w:rsidR="00F65F99" w:rsidRDefault="00F65F99">
            <w:pPr>
              <w:jc w:val="both"/>
              <w:rPr>
                <w:i/>
                <w:sz w:val="14"/>
              </w:rPr>
            </w:pPr>
          </w:p>
          <w:p w:rsidR="00F65F99" w:rsidRDefault="00F65F99">
            <w:pPr>
              <w:jc w:val="both"/>
              <w:rPr>
                <w:i/>
                <w:sz w:val="14"/>
              </w:rPr>
            </w:pPr>
          </w:p>
          <w:p w:rsidR="00F65F99" w:rsidRDefault="00F65F99">
            <w:pPr>
              <w:jc w:val="both"/>
              <w:rPr>
                <w:i/>
                <w:sz w:val="14"/>
              </w:rPr>
            </w:pPr>
          </w:p>
          <w:p w:rsidR="00F65F99" w:rsidRDefault="00F65F99">
            <w:pPr>
              <w:jc w:val="both"/>
              <w:rPr>
                <w:i/>
                <w:sz w:val="14"/>
              </w:rPr>
            </w:pPr>
          </w:p>
        </w:tc>
        <w:tc>
          <w:tcPr>
            <w:tcW w:w="2880" w:type="dxa"/>
          </w:tcPr>
          <w:p w:rsidR="00F46561" w:rsidRDefault="00F46561">
            <w:pPr>
              <w:jc w:val="both"/>
              <w:rPr>
                <w:i/>
                <w:iCs/>
                <w:sz w:val="18"/>
                <w:szCs w:val="18"/>
                <w:u w:val="single"/>
              </w:rPr>
            </w:pPr>
            <w:r>
              <w:rPr>
                <w:i/>
                <w:iCs/>
                <w:sz w:val="18"/>
                <w:szCs w:val="18"/>
                <w:u w:val="single"/>
              </w:rPr>
              <w:t>Eficiencia/Proceso</w:t>
            </w:r>
          </w:p>
          <w:p w:rsidR="00F46561" w:rsidRDefault="00F46561">
            <w:pPr>
              <w:jc w:val="both"/>
              <w:rPr>
                <w:sz w:val="18"/>
                <w:szCs w:val="18"/>
              </w:rPr>
            </w:pPr>
          </w:p>
          <w:p w:rsidR="00F46561" w:rsidRDefault="00F46561">
            <w:pPr>
              <w:jc w:val="both"/>
              <w:rPr>
                <w:sz w:val="18"/>
                <w:szCs w:val="18"/>
              </w:rPr>
            </w:pPr>
          </w:p>
          <w:p w:rsidR="00F46561" w:rsidRDefault="00F46561">
            <w:pPr>
              <w:rPr>
                <w:sz w:val="18"/>
                <w:szCs w:val="18"/>
              </w:rPr>
            </w:pPr>
            <w:r>
              <w:rPr>
                <w:sz w:val="18"/>
                <w:szCs w:val="18"/>
              </w:rPr>
              <w:t>1 Porcentaje de revisión de etapas de anteproyecto y proyecto de diseño emitidas en plazo, durante el año t,  respecto del total de solicitudes regionales para revisión de  etapas de anteproyecto y proyecto de diseño recibidas por el NC en año t   </w:t>
            </w:r>
          </w:p>
          <w:p w:rsidR="00F46561" w:rsidRDefault="00F46561">
            <w:pPr>
              <w:rPr>
                <w:sz w:val="12"/>
                <w:szCs w:val="12"/>
              </w:rPr>
            </w:pPr>
          </w:p>
          <w:p w:rsidR="00F46561" w:rsidRDefault="00F46561">
            <w:pPr>
              <w:rPr>
                <w:sz w:val="12"/>
                <w:szCs w:val="12"/>
              </w:rPr>
            </w:pPr>
          </w:p>
          <w:p w:rsidR="00F46561" w:rsidRDefault="00F46561">
            <w:pPr>
              <w:rPr>
                <w:sz w:val="12"/>
                <w:szCs w:val="12"/>
              </w:rPr>
            </w:pPr>
            <w:r>
              <w:rPr>
                <w:sz w:val="12"/>
                <w:szCs w:val="12"/>
              </w:rPr>
              <w:t>Aplica Desagregación por Sexo: NO</w:t>
            </w:r>
          </w:p>
          <w:p w:rsidR="00F46561" w:rsidRDefault="00F46561">
            <w:pPr>
              <w:rPr>
                <w:sz w:val="12"/>
                <w:szCs w:val="12"/>
              </w:rPr>
            </w:pPr>
            <w:r>
              <w:rPr>
                <w:sz w:val="12"/>
                <w:szCs w:val="12"/>
              </w:rPr>
              <w:t xml:space="preserve">    Aplica Gestión Territorial: NO</w:t>
            </w:r>
          </w:p>
          <w:p w:rsidR="00F46561" w:rsidRDefault="00F46561">
            <w:pPr>
              <w:rPr>
                <w:sz w:val="12"/>
                <w:szCs w:val="12"/>
              </w:rPr>
            </w:pPr>
          </w:p>
          <w:p w:rsidR="00F46561" w:rsidRDefault="00F46561">
            <w:pPr>
              <w:rPr>
                <w:sz w:val="12"/>
                <w:szCs w:val="12"/>
              </w:rPr>
            </w:pPr>
          </w:p>
        </w:tc>
        <w:tc>
          <w:tcPr>
            <w:tcW w:w="1680" w:type="dxa"/>
          </w:tcPr>
          <w:p w:rsidR="00F46561" w:rsidRPr="009928AD" w:rsidRDefault="00F46561">
            <w:pPr>
              <w:jc w:val="center"/>
              <w:rPr>
                <w:bCs/>
                <w:sz w:val="18"/>
                <w:szCs w:val="18"/>
              </w:rPr>
            </w:pPr>
            <w:r>
              <w:rPr>
                <w:bCs/>
                <w:sz w:val="18"/>
                <w:szCs w:val="18"/>
              </w:rPr>
              <w:t>(N° total de revisiones de etapas de anteproyecto y proyecto de diseño emitidas en plazo durante el año t/N° total de solicitudes regionales para revisión de etapas de anteproyecto y proyecto de diseño recibidas por el nivel central en el año t)*100</w:t>
            </w:r>
          </w:p>
        </w:tc>
        <w:tc>
          <w:tcPr>
            <w:tcW w:w="960" w:type="dxa"/>
          </w:tcPr>
          <w:p w:rsidR="00F46561" w:rsidRDefault="00F46561">
            <w:pPr>
              <w:jc w:val="center"/>
              <w:rPr>
                <w:bCs/>
                <w:sz w:val="18"/>
                <w:szCs w:val="18"/>
              </w:rPr>
            </w:pPr>
            <w:r>
              <w:rPr>
                <w:bCs/>
                <w:sz w:val="18"/>
                <w:szCs w:val="18"/>
              </w:rPr>
              <w:t>0 %</w:t>
            </w:r>
          </w:p>
          <w:p w:rsidR="00F46561" w:rsidRDefault="00F46561">
            <w:pPr>
              <w:jc w:val="center"/>
              <w:rPr>
                <w:bCs/>
                <w:sz w:val="18"/>
                <w:szCs w:val="18"/>
              </w:rPr>
            </w:pPr>
            <w:r>
              <w:rPr>
                <w:bCs/>
                <w:sz w:val="18"/>
                <w:szCs w:val="18"/>
              </w:rPr>
              <w:t>(0/0)*100</w:t>
            </w:r>
          </w:p>
          <w:p w:rsidR="00F46561" w:rsidRDefault="00F46561">
            <w:pPr>
              <w:jc w:val="center"/>
              <w:rPr>
                <w:bCs/>
                <w:sz w:val="18"/>
                <w:szCs w:val="18"/>
              </w:rPr>
            </w:pPr>
          </w:p>
          <w:p w:rsidR="00F46561" w:rsidRDefault="00F46561">
            <w:pPr>
              <w:jc w:val="center"/>
              <w:rPr>
                <w:bCs/>
                <w:sz w:val="18"/>
                <w:szCs w:val="18"/>
              </w:rPr>
            </w:pPr>
          </w:p>
          <w:p w:rsidR="00F46561" w:rsidRDefault="00F46561">
            <w:pPr>
              <w:jc w:val="center"/>
              <w:rPr>
                <w:bCs/>
                <w:sz w:val="18"/>
                <w:szCs w:val="18"/>
              </w:rPr>
            </w:pPr>
          </w:p>
          <w:p w:rsidR="00F46561" w:rsidRDefault="00F46561">
            <w:pPr>
              <w:jc w:val="center"/>
              <w:rPr>
                <w:bCs/>
                <w:sz w:val="18"/>
                <w:szCs w:val="18"/>
              </w:rPr>
            </w:pPr>
          </w:p>
          <w:p w:rsidR="00F46561" w:rsidRPr="009928AD" w:rsidRDefault="00F46561">
            <w:pPr>
              <w:jc w:val="center"/>
              <w:rPr>
                <w:bCs/>
                <w:sz w:val="18"/>
                <w:szCs w:val="18"/>
              </w:rPr>
            </w:pPr>
          </w:p>
        </w:tc>
        <w:tc>
          <w:tcPr>
            <w:tcW w:w="960" w:type="dxa"/>
          </w:tcPr>
          <w:p w:rsidR="00F46561" w:rsidRDefault="00F46561">
            <w:pPr>
              <w:jc w:val="center"/>
              <w:rPr>
                <w:bCs/>
                <w:sz w:val="18"/>
                <w:szCs w:val="18"/>
              </w:rPr>
            </w:pPr>
            <w:r>
              <w:rPr>
                <w:bCs/>
                <w:sz w:val="18"/>
                <w:szCs w:val="18"/>
              </w:rPr>
              <w:t>0 %</w:t>
            </w:r>
          </w:p>
          <w:p w:rsidR="00F46561" w:rsidRDefault="00F46561">
            <w:pPr>
              <w:jc w:val="center"/>
              <w:rPr>
                <w:bCs/>
                <w:sz w:val="18"/>
                <w:szCs w:val="18"/>
              </w:rPr>
            </w:pPr>
            <w:r>
              <w:rPr>
                <w:bCs/>
                <w:sz w:val="18"/>
                <w:szCs w:val="18"/>
              </w:rPr>
              <w:t>(0/0)*100</w:t>
            </w:r>
          </w:p>
          <w:p w:rsidR="00F46561" w:rsidRDefault="00F46561">
            <w:pPr>
              <w:jc w:val="center"/>
              <w:rPr>
                <w:bCs/>
                <w:sz w:val="18"/>
                <w:szCs w:val="18"/>
              </w:rPr>
            </w:pPr>
          </w:p>
          <w:p w:rsidR="00F46561" w:rsidRDefault="00F46561">
            <w:pPr>
              <w:jc w:val="center"/>
              <w:rPr>
                <w:bCs/>
                <w:sz w:val="18"/>
                <w:szCs w:val="18"/>
              </w:rPr>
            </w:pPr>
          </w:p>
          <w:p w:rsidR="00F46561" w:rsidRDefault="00F46561">
            <w:pPr>
              <w:jc w:val="center"/>
              <w:rPr>
                <w:bCs/>
                <w:sz w:val="18"/>
                <w:szCs w:val="18"/>
              </w:rPr>
            </w:pPr>
          </w:p>
          <w:p w:rsidR="00F46561" w:rsidRDefault="00F46561">
            <w:pPr>
              <w:jc w:val="center"/>
              <w:rPr>
                <w:bCs/>
                <w:sz w:val="18"/>
                <w:szCs w:val="18"/>
              </w:rPr>
            </w:pPr>
          </w:p>
          <w:p w:rsidR="00F46561" w:rsidRPr="009928AD" w:rsidRDefault="00F46561">
            <w:pPr>
              <w:jc w:val="center"/>
              <w:rPr>
                <w:bCs/>
                <w:sz w:val="18"/>
                <w:szCs w:val="18"/>
              </w:rPr>
            </w:pPr>
          </w:p>
        </w:tc>
        <w:tc>
          <w:tcPr>
            <w:tcW w:w="960" w:type="dxa"/>
          </w:tcPr>
          <w:p w:rsidR="00F46561" w:rsidRDefault="00F46561">
            <w:pPr>
              <w:jc w:val="center"/>
              <w:rPr>
                <w:bCs/>
                <w:sz w:val="18"/>
                <w:szCs w:val="18"/>
              </w:rPr>
            </w:pPr>
            <w:r>
              <w:rPr>
                <w:bCs/>
                <w:sz w:val="18"/>
                <w:szCs w:val="18"/>
              </w:rPr>
              <w:t>0 %</w:t>
            </w:r>
          </w:p>
          <w:p w:rsidR="00F46561" w:rsidRDefault="00F46561">
            <w:pPr>
              <w:jc w:val="center"/>
              <w:rPr>
                <w:bCs/>
                <w:sz w:val="18"/>
                <w:szCs w:val="18"/>
              </w:rPr>
            </w:pPr>
            <w:r>
              <w:rPr>
                <w:bCs/>
                <w:sz w:val="18"/>
                <w:szCs w:val="18"/>
              </w:rPr>
              <w:t>(0/0)*100</w:t>
            </w:r>
          </w:p>
          <w:p w:rsidR="00F46561" w:rsidRDefault="00F46561">
            <w:pPr>
              <w:jc w:val="center"/>
              <w:rPr>
                <w:bCs/>
                <w:sz w:val="18"/>
                <w:szCs w:val="18"/>
              </w:rPr>
            </w:pPr>
          </w:p>
          <w:p w:rsidR="00F46561" w:rsidRDefault="00F46561">
            <w:pPr>
              <w:jc w:val="center"/>
              <w:rPr>
                <w:bCs/>
                <w:sz w:val="18"/>
                <w:szCs w:val="18"/>
              </w:rPr>
            </w:pPr>
          </w:p>
          <w:p w:rsidR="00F46561" w:rsidRDefault="00F46561">
            <w:pPr>
              <w:jc w:val="center"/>
              <w:rPr>
                <w:bCs/>
                <w:sz w:val="18"/>
                <w:szCs w:val="18"/>
              </w:rPr>
            </w:pPr>
          </w:p>
          <w:p w:rsidR="00F46561" w:rsidRDefault="00F46561">
            <w:pPr>
              <w:jc w:val="center"/>
              <w:rPr>
                <w:bCs/>
                <w:sz w:val="18"/>
                <w:szCs w:val="18"/>
              </w:rPr>
            </w:pPr>
            <w:r>
              <w:rPr>
                <w:bCs/>
                <w:sz w:val="18"/>
                <w:szCs w:val="18"/>
              </w:rPr>
              <w:t xml:space="preserve"> </w:t>
            </w:r>
          </w:p>
          <w:p w:rsidR="00F46561" w:rsidRPr="009928AD" w:rsidRDefault="00F46561">
            <w:pPr>
              <w:jc w:val="center"/>
              <w:rPr>
                <w:bCs/>
                <w:sz w:val="18"/>
                <w:szCs w:val="18"/>
              </w:rPr>
            </w:pPr>
          </w:p>
        </w:tc>
        <w:tc>
          <w:tcPr>
            <w:tcW w:w="960" w:type="dxa"/>
          </w:tcPr>
          <w:p w:rsidR="00F46561" w:rsidRDefault="00F46561">
            <w:pPr>
              <w:jc w:val="center"/>
              <w:rPr>
                <w:bCs/>
                <w:sz w:val="18"/>
                <w:szCs w:val="18"/>
              </w:rPr>
            </w:pPr>
            <w:r>
              <w:rPr>
                <w:bCs/>
                <w:sz w:val="18"/>
                <w:szCs w:val="18"/>
              </w:rPr>
              <w:t>0 %</w:t>
            </w:r>
          </w:p>
          <w:p w:rsidR="00F46561" w:rsidRDefault="00F46561">
            <w:pPr>
              <w:jc w:val="center"/>
              <w:rPr>
                <w:bCs/>
                <w:sz w:val="18"/>
                <w:szCs w:val="18"/>
              </w:rPr>
            </w:pPr>
          </w:p>
          <w:p w:rsidR="00F46561" w:rsidRDefault="00F46561">
            <w:pPr>
              <w:jc w:val="center"/>
              <w:rPr>
                <w:bCs/>
                <w:sz w:val="18"/>
                <w:szCs w:val="18"/>
              </w:rPr>
            </w:pPr>
          </w:p>
          <w:p w:rsidR="00F46561" w:rsidRDefault="00F46561">
            <w:pPr>
              <w:jc w:val="center"/>
              <w:rPr>
                <w:bCs/>
                <w:sz w:val="18"/>
                <w:szCs w:val="18"/>
              </w:rPr>
            </w:pPr>
          </w:p>
          <w:p w:rsidR="00F46561" w:rsidRDefault="00F46561">
            <w:pPr>
              <w:jc w:val="center"/>
              <w:rPr>
                <w:bCs/>
                <w:sz w:val="18"/>
                <w:szCs w:val="18"/>
              </w:rPr>
            </w:pPr>
          </w:p>
          <w:p w:rsidR="00F46561" w:rsidRPr="009928AD" w:rsidRDefault="00F46561">
            <w:pPr>
              <w:jc w:val="center"/>
              <w:rPr>
                <w:bCs/>
                <w:sz w:val="18"/>
                <w:szCs w:val="18"/>
              </w:rPr>
            </w:pPr>
          </w:p>
        </w:tc>
        <w:tc>
          <w:tcPr>
            <w:tcW w:w="960" w:type="dxa"/>
          </w:tcPr>
          <w:p w:rsidR="00F46561" w:rsidRDefault="00F46561">
            <w:pPr>
              <w:jc w:val="center"/>
              <w:rPr>
                <w:bCs/>
                <w:sz w:val="18"/>
                <w:szCs w:val="18"/>
              </w:rPr>
            </w:pPr>
            <w:r>
              <w:rPr>
                <w:bCs/>
                <w:sz w:val="18"/>
                <w:szCs w:val="18"/>
              </w:rPr>
              <w:t>75  %</w:t>
            </w:r>
          </w:p>
          <w:p w:rsidR="00F46561" w:rsidRDefault="00F46561">
            <w:pPr>
              <w:jc w:val="center"/>
              <w:rPr>
                <w:bCs/>
                <w:sz w:val="18"/>
                <w:szCs w:val="18"/>
              </w:rPr>
            </w:pPr>
            <w:r>
              <w:rPr>
                <w:bCs/>
                <w:sz w:val="18"/>
                <w:szCs w:val="18"/>
              </w:rPr>
              <w:t xml:space="preserve">(6/8)*100 </w:t>
            </w:r>
          </w:p>
          <w:p w:rsidR="00F46561" w:rsidRDefault="00F46561">
            <w:pPr>
              <w:jc w:val="center"/>
              <w:rPr>
                <w:bCs/>
                <w:sz w:val="18"/>
                <w:szCs w:val="18"/>
              </w:rPr>
            </w:pPr>
          </w:p>
          <w:p w:rsidR="00F46561" w:rsidRDefault="00F46561">
            <w:pPr>
              <w:jc w:val="center"/>
              <w:rPr>
                <w:bCs/>
                <w:sz w:val="18"/>
                <w:szCs w:val="18"/>
              </w:rPr>
            </w:pPr>
          </w:p>
          <w:p w:rsidR="00F46561" w:rsidRDefault="00F46561">
            <w:pPr>
              <w:jc w:val="center"/>
              <w:rPr>
                <w:bCs/>
                <w:sz w:val="18"/>
                <w:szCs w:val="18"/>
              </w:rPr>
            </w:pPr>
          </w:p>
          <w:p w:rsidR="00F46561" w:rsidRDefault="00F46561">
            <w:pPr>
              <w:jc w:val="center"/>
              <w:rPr>
                <w:bCs/>
                <w:sz w:val="18"/>
                <w:szCs w:val="18"/>
              </w:rPr>
            </w:pPr>
          </w:p>
          <w:p w:rsidR="00F46561" w:rsidRPr="009928AD" w:rsidRDefault="00F46561">
            <w:pPr>
              <w:jc w:val="center"/>
              <w:rPr>
                <w:bCs/>
                <w:sz w:val="18"/>
                <w:szCs w:val="18"/>
              </w:rPr>
            </w:pPr>
          </w:p>
        </w:tc>
        <w:tc>
          <w:tcPr>
            <w:tcW w:w="840" w:type="dxa"/>
          </w:tcPr>
          <w:p w:rsidR="00F46561" w:rsidRPr="009928AD" w:rsidRDefault="00437FAD">
            <w:pPr>
              <w:jc w:val="center"/>
              <w:rPr>
                <w:bCs/>
                <w:sz w:val="18"/>
                <w:szCs w:val="18"/>
              </w:rPr>
            </w:pPr>
            <w:r w:rsidRPr="00904EDA">
              <w:rPr>
                <w:sz w:val="18"/>
                <w:szCs w:val="18"/>
              </w:rPr>
              <w:t>1</w:t>
            </w:r>
          </w:p>
        </w:tc>
      </w:tr>
      <w:tr w:rsidR="00AB13B9" w:rsidTr="00F46561">
        <w:tc>
          <w:tcPr>
            <w:tcW w:w="2028" w:type="dxa"/>
          </w:tcPr>
          <w:p w:rsidR="00F65F99" w:rsidRDefault="009857EC">
            <w:pPr>
              <w:rPr>
                <w:sz w:val="18"/>
                <w:szCs w:val="18"/>
              </w:rPr>
            </w:pPr>
            <w:r>
              <w:t xml:space="preserve"> </w:t>
            </w:r>
            <w:r w:rsidR="00F65F99">
              <w:rPr>
                <w:sz w:val="18"/>
                <w:szCs w:val="18"/>
              </w:rPr>
              <w:sym w:font="Symbol" w:char="F0B7"/>
            </w:r>
            <w:r w:rsidR="00F65F99">
              <w:rPr>
                <w:sz w:val="18"/>
                <w:szCs w:val="18"/>
              </w:rPr>
              <w:t xml:space="preserve">Servicios de Edificación Pública. </w:t>
            </w:r>
          </w:p>
          <w:p w:rsidR="00F65F99" w:rsidRDefault="009857EC">
            <w:pPr>
              <w:rPr>
                <w:i/>
                <w:sz w:val="14"/>
              </w:rPr>
            </w:pPr>
            <w:r>
              <w:t xml:space="preserve"> </w:t>
            </w:r>
            <w:r w:rsidR="00F65F99">
              <w:rPr>
                <w:i/>
                <w:sz w:val="14"/>
                <w:szCs w:val="14"/>
              </w:rPr>
              <w:sym w:font="Times New Roman" w:char="00B7"/>
            </w:r>
          </w:p>
          <w:p w:rsidR="00F65F99" w:rsidRDefault="00F65F99">
            <w:pPr>
              <w:jc w:val="both"/>
              <w:rPr>
                <w:i/>
                <w:sz w:val="14"/>
              </w:rPr>
            </w:pPr>
          </w:p>
          <w:p w:rsidR="00F65F99" w:rsidRDefault="00F65F99">
            <w:pPr>
              <w:jc w:val="both"/>
              <w:rPr>
                <w:i/>
                <w:sz w:val="14"/>
              </w:rPr>
            </w:pPr>
          </w:p>
          <w:p w:rsidR="00F65F99" w:rsidRDefault="00F65F99">
            <w:pPr>
              <w:jc w:val="both"/>
              <w:rPr>
                <w:i/>
                <w:sz w:val="14"/>
              </w:rPr>
            </w:pPr>
          </w:p>
          <w:p w:rsidR="00F65F99" w:rsidRDefault="00F65F99">
            <w:pPr>
              <w:jc w:val="both"/>
              <w:rPr>
                <w:i/>
                <w:sz w:val="14"/>
              </w:rPr>
            </w:pPr>
          </w:p>
        </w:tc>
        <w:tc>
          <w:tcPr>
            <w:tcW w:w="2880" w:type="dxa"/>
          </w:tcPr>
          <w:p w:rsidR="00F46561" w:rsidRDefault="00F46561">
            <w:pPr>
              <w:jc w:val="both"/>
              <w:rPr>
                <w:i/>
                <w:iCs/>
                <w:sz w:val="18"/>
                <w:szCs w:val="18"/>
                <w:u w:val="single"/>
              </w:rPr>
            </w:pPr>
            <w:r>
              <w:rPr>
                <w:i/>
                <w:iCs/>
                <w:sz w:val="18"/>
                <w:szCs w:val="18"/>
                <w:u w:val="single"/>
              </w:rPr>
              <w:t>Calidad/Producto</w:t>
            </w:r>
          </w:p>
          <w:p w:rsidR="00F46561" w:rsidRDefault="00F46561">
            <w:pPr>
              <w:jc w:val="both"/>
              <w:rPr>
                <w:sz w:val="18"/>
                <w:szCs w:val="18"/>
              </w:rPr>
            </w:pPr>
          </w:p>
          <w:p w:rsidR="00F46561" w:rsidRDefault="00F46561">
            <w:pPr>
              <w:jc w:val="both"/>
              <w:rPr>
                <w:sz w:val="18"/>
                <w:szCs w:val="18"/>
              </w:rPr>
            </w:pPr>
          </w:p>
          <w:p w:rsidR="00F46561" w:rsidRDefault="00F46561">
            <w:pPr>
              <w:rPr>
                <w:sz w:val="18"/>
                <w:szCs w:val="18"/>
              </w:rPr>
            </w:pPr>
            <w:r>
              <w:rPr>
                <w:sz w:val="18"/>
                <w:szCs w:val="18"/>
              </w:rPr>
              <w:t>2 Porcentaje de obras nuevas de construcción y reposición terminadas el año t dentro del plazo establecido en los contratos, respecto del total de obras nuevas de construcción y reposición terminadas en el año t.   </w:t>
            </w:r>
          </w:p>
          <w:p w:rsidR="00F46561" w:rsidRDefault="00F46561">
            <w:pPr>
              <w:rPr>
                <w:sz w:val="12"/>
                <w:szCs w:val="12"/>
              </w:rPr>
            </w:pPr>
          </w:p>
          <w:p w:rsidR="00F46561" w:rsidRDefault="00F46561">
            <w:pPr>
              <w:rPr>
                <w:sz w:val="12"/>
                <w:szCs w:val="12"/>
              </w:rPr>
            </w:pPr>
          </w:p>
          <w:p w:rsidR="00F46561" w:rsidRDefault="00F46561">
            <w:pPr>
              <w:rPr>
                <w:sz w:val="12"/>
                <w:szCs w:val="12"/>
              </w:rPr>
            </w:pPr>
            <w:r>
              <w:rPr>
                <w:sz w:val="12"/>
                <w:szCs w:val="12"/>
              </w:rPr>
              <w:t>Aplica Desagregación por Sexo: NO</w:t>
            </w:r>
          </w:p>
          <w:p w:rsidR="00F46561" w:rsidRDefault="00F46561">
            <w:pPr>
              <w:rPr>
                <w:sz w:val="12"/>
                <w:szCs w:val="12"/>
              </w:rPr>
            </w:pPr>
            <w:r>
              <w:rPr>
                <w:sz w:val="12"/>
                <w:szCs w:val="12"/>
              </w:rPr>
              <w:t xml:space="preserve">    Aplica Gestión Territorial: SI</w:t>
            </w:r>
          </w:p>
          <w:p w:rsidR="00F46561" w:rsidRDefault="00F46561">
            <w:pPr>
              <w:rPr>
                <w:sz w:val="12"/>
                <w:szCs w:val="12"/>
              </w:rPr>
            </w:pPr>
          </w:p>
          <w:p w:rsidR="00F46561" w:rsidRDefault="00F46561">
            <w:pPr>
              <w:rPr>
                <w:sz w:val="12"/>
                <w:szCs w:val="12"/>
              </w:rPr>
            </w:pPr>
          </w:p>
        </w:tc>
        <w:tc>
          <w:tcPr>
            <w:tcW w:w="1680" w:type="dxa"/>
          </w:tcPr>
          <w:p w:rsidR="00F46561" w:rsidRPr="009928AD" w:rsidRDefault="00F46561">
            <w:pPr>
              <w:jc w:val="center"/>
              <w:rPr>
                <w:bCs/>
                <w:sz w:val="18"/>
                <w:szCs w:val="18"/>
              </w:rPr>
            </w:pPr>
            <w:r>
              <w:rPr>
                <w:bCs/>
                <w:sz w:val="18"/>
                <w:szCs w:val="18"/>
              </w:rPr>
              <w:t>(Número de obras nuevas de construcción y reposición terminadas dentro del plazo en el año t/Número de obras nuevas de construcción y reposición terminadas en el año t)*100</w:t>
            </w:r>
          </w:p>
        </w:tc>
        <w:tc>
          <w:tcPr>
            <w:tcW w:w="960" w:type="dxa"/>
          </w:tcPr>
          <w:p w:rsidR="00F46561" w:rsidRDefault="00F46561">
            <w:pPr>
              <w:jc w:val="center"/>
              <w:rPr>
                <w:bCs/>
                <w:sz w:val="18"/>
                <w:szCs w:val="18"/>
              </w:rPr>
            </w:pPr>
            <w:r>
              <w:rPr>
                <w:bCs/>
                <w:sz w:val="18"/>
                <w:szCs w:val="18"/>
              </w:rPr>
              <w:t>92 %</w:t>
            </w:r>
          </w:p>
          <w:p w:rsidR="00F46561" w:rsidRDefault="00F46561">
            <w:pPr>
              <w:jc w:val="center"/>
              <w:rPr>
                <w:bCs/>
                <w:sz w:val="18"/>
                <w:szCs w:val="18"/>
              </w:rPr>
            </w:pPr>
            <w:r>
              <w:rPr>
                <w:bCs/>
                <w:sz w:val="18"/>
                <w:szCs w:val="18"/>
              </w:rPr>
              <w:t>(36/39)*100</w:t>
            </w:r>
          </w:p>
          <w:p w:rsidR="00F46561" w:rsidRDefault="00F46561">
            <w:pPr>
              <w:jc w:val="center"/>
              <w:rPr>
                <w:bCs/>
                <w:sz w:val="18"/>
                <w:szCs w:val="18"/>
              </w:rPr>
            </w:pPr>
          </w:p>
          <w:p w:rsidR="00F46561" w:rsidRDefault="00F46561">
            <w:pPr>
              <w:jc w:val="center"/>
              <w:rPr>
                <w:bCs/>
                <w:sz w:val="18"/>
                <w:szCs w:val="18"/>
              </w:rPr>
            </w:pPr>
          </w:p>
          <w:p w:rsidR="00F46561" w:rsidRDefault="00F46561">
            <w:pPr>
              <w:jc w:val="center"/>
              <w:rPr>
                <w:bCs/>
                <w:sz w:val="18"/>
                <w:szCs w:val="18"/>
              </w:rPr>
            </w:pPr>
          </w:p>
          <w:p w:rsidR="00F46561" w:rsidRDefault="00F46561">
            <w:pPr>
              <w:jc w:val="center"/>
              <w:rPr>
                <w:bCs/>
                <w:sz w:val="18"/>
                <w:szCs w:val="18"/>
              </w:rPr>
            </w:pPr>
          </w:p>
          <w:p w:rsidR="00F46561" w:rsidRPr="009928AD" w:rsidRDefault="00F46561">
            <w:pPr>
              <w:jc w:val="center"/>
              <w:rPr>
                <w:bCs/>
                <w:sz w:val="18"/>
                <w:szCs w:val="18"/>
              </w:rPr>
            </w:pPr>
          </w:p>
        </w:tc>
        <w:tc>
          <w:tcPr>
            <w:tcW w:w="960" w:type="dxa"/>
          </w:tcPr>
          <w:p w:rsidR="00F46561" w:rsidRDefault="00F46561">
            <w:pPr>
              <w:jc w:val="center"/>
              <w:rPr>
                <w:bCs/>
                <w:sz w:val="18"/>
                <w:szCs w:val="18"/>
              </w:rPr>
            </w:pPr>
            <w:r>
              <w:rPr>
                <w:bCs/>
                <w:sz w:val="18"/>
                <w:szCs w:val="18"/>
              </w:rPr>
              <w:t>100 %</w:t>
            </w:r>
          </w:p>
          <w:p w:rsidR="00F46561" w:rsidRDefault="00F46561">
            <w:pPr>
              <w:jc w:val="center"/>
              <w:rPr>
                <w:bCs/>
                <w:sz w:val="18"/>
                <w:szCs w:val="18"/>
              </w:rPr>
            </w:pPr>
            <w:r>
              <w:rPr>
                <w:bCs/>
                <w:sz w:val="18"/>
                <w:szCs w:val="18"/>
              </w:rPr>
              <w:t>(33/33)*100</w:t>
            </w:r>
          </w:p>
          <w:p w:rsidR="00F46561" w:rsidRDefault="00F46561">
            <w:pPr>
              <w:jc w:val="center"/>
              <w:rPr>
                <w:bCs/>
                <w:sz w:val="18"/>
                <w:szCs w:val="18"/>
              </w:rPr>
            </w:pPr>
          </w:p>
          <w:p w:rsidR="00F46561" w:rsidRDefault="00F46561">
            <w:pPr>
              <w:jc w:val="center"/>
              <w:rPr>
                <w:bCs/>
                <w:sz w:val="18"/>
                <w:szCs w:val="18"/>
              </w:rPr>
            </w:pPr>
          </w:p>
          <w:p w:rsidR="00F46561" w:rsidRDefault="00F46561">
            <w:pPr>
              <w:jc w:val="center"/>
              <w:rPr>
                <w:bCs/>
                <w:sz w:val="18"/>
                <w:szCs w:val="18"/>
              </w:rPr>
            </w:pPr>
          </w:p>
          <w:p w:rsidR="00F46561" w:rsidRDefault="00F46561">
            <w:pPr>
              <w:jc w:val="center"/>
              <w:rPr>
                <w:bCs/>
                <w:sz w:val="18"/>
                <w:szCs w:val="18"/>
              </w:rPr>
            </w:pPr>
          </w:p>
          <w:p w:rsidR="00F46561" w:rsidRPr="009928AD" w:rsidRDefault="00F46561">
            <w:pPr>
              <w:jc w:val="center"/>
              <w:rPr>
                <w:bCs/>
                <w:sz w:val="18"/>
                <w:szCs w:val="18"/>
              </w:rPr>
            </w:pPr>
          </w:p>
        </w:tc>
        <w:tc>
          <w:tcPr>
            <w:tcW w:w="960" w:type="dxa"/>
          </w:tcPr>
          <w:p w:rsidR="00F46561" w:rsidRDefault="00F46561">
            <w:pPr>
              <w:jc w:val="center"/>
              <w:rPr>
                <w:bCs/>
                <w:sz w:val="18"/>
                <w:szCs w:val="18"/>
              </w:rPr>
            </w:pPr>
            <w:r>
              <w:rPr>
                <w:bCs/>
                <w:sz w:val="18"/>
                <w:szCs w:val="18"/>
              </w:rPr>
              <w:t>96 %</w:t>
            </w:r>
          </w:p>
          <w:p w:rsidR="00F46561" w:rsidRDefault="00F46561">
            <w:pPr>
              <w:jc w:val="center"/>
              <w:rPr>
                <w:bCs/>
                <w:sz w:val="18"/>
                <w:szCs w:val="18"/>
              </w:rPr>
            </w:pPr>
            <w:r>
              <w:rPr>
                <w:bCs/>
                <w:sz w:val="18"/>
                <w:szCs w:val="18"/>
              </w:rPr>
              <w:t>(23/24)*100</w:t>
            </w:r>
          </w:p>
          <w:p w:rsidR="00F46561" w:rsidRDefault="00F46561">
            <w:pPr>
              <w:jc w:val="center"/>
              <w:rPr>
                <w:bCs/>
                <w:sz w:val="18"/>
                <w:szCs w:val="18"/>
              </w:rPr>
            </w:pPr>
          </w:p>
          <w:p w:rsidR="00F46561" w:rsidRDefault="00F46561">
            <w:pPr>
              <w:jc w:val="center"/>
              <w:rPr>
                <w:bCs/>
                <w:sz w:val="18"/>
                <w:szCs w:val="18"/>
              </w:rPr>
            </w:pPr>
          </w:p>
          <w:p w:rsidR="00F46561" w:rsidRDefault="00F46561">
            <w:pPr>
              <w:jc w:val="center"/>
              <w:rPr>
                <w:bCs/>
                <w:sz w:val="18"/>
                <w:szCs w:val="18"/>
              </w:rPr>
            </w:pPr>
          </w:p>
          <w:p w:rsidR="00F46561" w:rsidRDefault="00F46561">
            <w:pPr>
              <w:jc w:val="center"/>
              <w:rPr>
                <w:bCs/>
                <w:sz w:val="18"/>
                <w:szCs w:val="18"/>
              </w:rPr>
            </w:pPr>
            <w:r>
              <w:rPr>
                <w:bCs/>
                <w:sz w:val="18"/>
                <w:szCs w:val="18"/>
              </w:rPr>
              <w:t xml:space="preserve"> </w:t>
            </w:r>
          </w:p>
          <w:p w:rsidR="00F46561" w:rsidRPr="009928AD" w:rsidRDefault="00F46561">
            <w:pPr>
              <w:jc w:val="center"/>
              <w:rPr>
                <w:bCs/>
                <w:sz w:val="18"/>
                <w:szCs w:val="18"/>
              </w:rPr>
            </w:pPr>
          </w:p>
        </w:tc>
        <w:tc>
          <w:tcPr>
            <w:tcW w:w="960" w:type="dxa"/>
          </w:tcPr>
          <w:p w:rsidR="00F46561" w:rsidRDefault="00F46561">
            <w:pPr>
              <w:jc w:val="center"/>
              <w:rPr>
                <w:bCs/>
                <w:sz w:val="18"/>
                <w:szCs w:val="18"/>
              </w:rPr>
            </w:pPr>
            <w:r>
              <w:rPr>
                <w:bCs/>
                <w:sz w:val="18"/>
                <w:szCs w:val="18"/>
              </w:rPr>
              <w:t>0 %</w:t>
            </w:r>
          </w:p>
          <w:p w:rsidR="00F46561" w:rsidRDefault="00F46561">
            <w:pPr>
              <w:jc w:val="center"/>
              <w:rPr>
                <w:bCs/>
                <w:sz w:val="18"/>
                <w:szCs w:val="18"/>
              </w:rPr>
            </w:pPr>
          </w:p>
          <w:p w:rsidR="00F46561" w:rsidRDefault="00F46561">
            <w:pPr>
              <w:jc w:val="center"/>
              <w:rPr>
                <w:bCs/>
                <w:sz w:val="18"/>
                <w:szCs w:val="18"/>
              </w:rPr>
            </w:pPr>
          </w:p>
          <w:p w:rsidR="00F46561" w:rsidRDefault="00F46561">
            <w:pPr>
              <w:jc w:val="center"/>
              <w:rPr>
                <w:bCs/>
                <w:sz w:val="18"/>
                <w:szCs w:val="18"/>
              </w:rPr>
            </w:pPr>
          </w:p>
          <w:p w:rsidR="00F46561" w:rsidRDefault="00F46561">
            <w:pPr>
              <w:jc w:val="center"/>
              <w:rPr>
                <w:bCs/>
                <w:sz w:val="18"/>
                <w:szCs w:val="18"/>
              </w:rPr>
            </w:pPr>
          </w:p>
          <w:p w:rsidR="00F46561" w:rsidRPr="009928AD" w:rsidRDefault="00F46561">
            <w:pPr>
              <w:jc w:val="center"/>
              <w:rPr>
                <w:bCs/>
                <w:sz w:val="18"/>
                <w:szCs w:val="18"/>
              </w:rPr>
            </w:pPr>
          </w:p>
        </w:tc>
        <w:tc>
          <w:tcPr>
            <w:tcW w:w="960" w:type="dxa"/>
          </w:tcPr>
          <w:p w:rsidR="00F46561" w:rsidRDefault="00F46561">
            <w:pPr>
              <w:jc w:val="center"/>
              <w:rPr>
                <w:bCs/>
                <w:sz w:val="18"/>
                <w:szCs w:val="18"/>
              </w:rPr>
            </w:pPr>
            <w:r>
              <w:rPr>
                <w:bCs/>
                <w:sz w:val="18"/>
                <w:szCs w:val="18"/>
              </w:rPr>
              <w:t>92  %</w:t>
            </w:r>
          </w:p>
          <w:p w:rsidR="00F46561" w:rsidRDefault="00F46561">
            <w:pPr>
              <w:jc w:val="center"/>
              <w:rPr>
                <w:bCs/>
                <w:sz w:val="18"/>
                <w:szCs w:val="18"/>
              </w:rPr>
            </w:pPr>
            <w:r>
              <w:rPr>
                <w:bCs/>
                <w:sz w:val="18"/>
                <w:szCs w:val="18"/>
              </w:rPr>
              <w:t xml:space="preserve">(22/24)*100 </w:t>
            </w:r>
          </w:p>
          <w:p w:rsidR="00F46561" w:rsidRDefault="00F46561">
            <w:pPr>
              <w:jc w:val="center"/>
              <w:rPr>
                <w:bCs/>
                <w:sz w:val="18"/>
                <w:szCs w:val="18"/>
              </w:rPr>
            </w:pPr>
          </w:p>
          <w:p w:rsidR="00F46561" w:rsidRDefault="00F46561">
            <w:pPr>
              <w:jc w:val="center"/>
              <w:rPr>
                <w:bCs/>
                <w:sz w:val="18"/>
                <w:szCs w:val="18"/>
              </w:rPr>
            </w:pPr>
          </w:p>
          <w:p w:rsidR="00F46561" w:rsidRDefault="00F46561">
            <w:pPr>
              <w:jc w:val="center"/>
              <w:rPr>
                <w:bCs/>
                <w:sz w:val="18"/>
                <w:szCs w:val="18"/>
              </w:rPr>
            </w:pPr>
          </w:p>
          <w:p w:rsidR="00F46561" w:rsidRDefault="00F46561">
            <w:pPr>
              <w:jc w:val="center"/>
              <w:rPr>
                <w:bCs/>
                <w:sz w:val="18"/>
                <w:szCs w:val="18"/>
              </w:rPr>
            </w:pPr>
          </w:p>
          <w:p w:rsidR="00F46561" w:rsidRPr="009928AD" w:rsidRDefault="00F46561">
            <w:pPr>
              <w:jc w:val="center"/>
              <w:rPr>
                <w:bCs/>
                <w:sz w:val="18"/>
                <w:szCs w:val="18"/>
              </w:rPr>
            </w:pPr>
          </w:p>
        </w:tc>
        <w:tc>
          <w:tcPr>
            <w:tcW w:w="840" w:type="dxa"/>
          </w:tcPr>
          <w:p w:rsidR="00F46561" w:rsidRPr="009928AD" w:rsidRDefault="00437FAD">
            <w:pPr>
              <w:jc w:val="center"/>
              <w:rPr>
                <w:bCs/>
                <w:sz w:val="18"/>
                <w:szCs w:val="18"/>
              </w:rPr>
            </w:pPr>
            <w:r w:rsidRPr="00904EDA">
              <w:rPr>
                <w:sz w:val="18"/>
                <w:szCs w:val="18"/>
              </w:rPr>
              <w:t>2</w:t>
            </w:r>
          </w:p>
        </w:tc>
      </w:tr>
      <w:tr w:rsidR="00AB13B9" w:rsidTr="00F46561">
        <w:tc>
          <w:tcPr>
            <w:tcW w:w="2028" w:type="dxa"/>
          </w:tcPr>
          <w:p w:rsidR="00F65F99" w:rsidRDefault="009857EC">
            <w:pPr>
              <w:rPr>
                <w:sz w:val="18"/>
                <w:szCs w:val="18"/>
              </w:rPr>
            </w:pPr>
            <w:r>
              <w:t xml:space="preserve"> </w:t>
            </w:r>
            <w:r w:rsidR="00F65F99">
              <w:rPr>
                <w:sz w:val="18"/>
                <w:szCs w:val="18"/>
              </w:rPr>
              <w:sym w:font="Symbol" w:char="F0B7"/>
            </w:r>
            <w:r w:rsidR="00F65F99">
              <w:rPr>
                <w:sz w:val="18"/>
                <w:szCs w:val="18"/>
              </w:rPr>
              <w:t xml:space="preserve">Servicios de Edificación Pública. </w:t>
            </w:r>
          </w:p>
          <w:p w:rsidR="00F65F99" w:rsidRDefault="009857EC">
            <w:pPr>
              <w:rPr>
                <w:i/>
                <w:sz w:val="14"/>
              </w:rPr>
            </w:pPr>
            <w:r>
              <w:t xml:space="preserve"> </w:t>
            </w:r>
            <w:r w:rsidR="00F65F99">
              <w:rPr>
                <w:i/>
                <w:sz w:val="14"/>
                <w:szCs w:val="14"/>
              </w:rPr>
              <w:sym w:font="Times New Roman" w:char="00B7"/>
            </w:r>
          </w:p>
          <w:p w:rsidR="00F65F99" w:rsidRDefault="00F65F99">
            <w:pPr>
              <w:jc w:val="both"/>
              <w:rPr>
                <w:i/>
                <w:sz w:val="14"/>
              </w:rPr>
            </w:pPr>
          </w:p>
          <w:p w:rsidR="00F65F99" w:rsidRDefault="00F65F99">
            <w:pPr>
              <w:jc w:val="both"/>
              <w:rPr>
                <w:i/>
                <w:sz w:val="14"/>
              </w:rPr>
            </w:pPr>
          </w:p>
          <w:p w:rsidR="00F65F99" w:rsidRDefault="00F65F99">
            <w:pPr>
              <w:jc w:val="both"/>
              <w:rPr>
                <w:i/>
                <w:sz w:val="14"/>
              </w:rPr>
            </w:pPr>
          </w:p>
          <w:p w:rsidR="00F65F99" w:rsidRDefault="00F65F99">
            <w:pPr>
              <w:jc w:val="both"/>
              <w:rPr>
                <w:i/>
                <w:sz w:val="14"/>
              </w:rPr>
            </w:pPr>
          </w:p>
        </w:tc>
        <w:tc>
          <w:tcPr>
            <w:tcW w:w="2880" w:type="dxa"/>
          </w:tcPr>
          <w:p w:rsidR="00F46561" w:rsidRDefault="00F46561">
            <w:pPr>
              <w:jc w:val="both"/>
              <w:rPr>
                <w:i/>
                <w:iCs/>
                <w:sz w:val="18"/>
                <w:szCs w:val="18"/>
                <w:u w:val="single"/>
              </w:rPr>
            </w:pPr>
            <w:r>
              <w:rPr>
                <w:i/>
                <w:iCs/>
                <w:sz w:val="18"/>
                <w:szCs w:val="18"/>
                <w:u w:val="single"/>
              </w:rPr>
              <w:t>Calidad/Producto</w:t>
            </w:r>
          </w:p>
          <w:p w:rsidR="00F46561" w:rsidRDefault="00F46561">
            <w:pPr>
              <w:jc w:val="both"/>
              <w:rPr>
                <w:sz w:val="18"/>
                <w:szCs w:val="18"/>
              </w:rPr>
            </w:pPr>
          </w:p>
          <w:p w:rsidR="00F46561" w:rsidRDefault="00F46561">
            <w:pPr>
              <w:jc w:val="both"/>
              <w:rPr>
                <w:sz w:val="18"/>
                <w:szCs w:val="18"/>
              </w:rPr>
            </w:pPr>
          </w:p>
          <w:p w:rsidR="00F46561" w:rsidRDefault="00F46561">
            <w:pPr>
              <w:rPr>
                <w:sz w:val="18"/>
                <w:szCs w:val="18"/>
              </w:rPr>
            </w:pPr>
            <w:r>
              <w:rPr>
                <w:sz w:val="18"/>
                <w:szCs w:val="18"/>
              </w:rPr>
              <w:t>3 Porcentaje de obras terminadas en el año t, para las cuales el servicio de edificación pública entregado por la Dirección de Arquitectura fue evaluado como bueno, muy bueno y/o excelente por los mandantes.   </w:t>
            </w:r>
          </w:p>
          <w:p w:rsidR="00F46561" w:rsidRDefault="00F46561">
            <w:pPr>
              <w:rPr>
                <w:sz w:val="12"/>
                <w:szCs w:val="12"/>
              </w:rPr>
            </w:pPr>
          </w:p>
          <w:p w:rsidR="00F46561" w:rsidRDefault="00F46561">
            <w:pPr>
              <w:rPr>
                <w:sz w:val="12"/>
                <w:szCs w:val="12"/>
              </w:rPr>
            </w:pPr>
          </w:p>
          <w:p w:rsidR="00F46561" w:rsidRDefault="00F46561">
            <w:pPr>
              <w:rPr>
                <w:sz w:val="12"/>
                <w:szCs w:val="12"/>
              </w:rPr>
            </w:pPr>
            <w:r>
              <w:rPr>
                <w:sz w:val="12"/>
                <w:szCs w:val="12"/>
              </w:rPr>
              <w:t>Aplica Desagregación por Sexo: NO</w:t>
            </w:r>
          </w:p>
          <w:p w:rsidR="00F46561" w:rsidRDefault="00F46561">
            <w:pPr>
              <w:rPr>
                <w:sz w:val="12"/>
                <w:szCs w:val="12"/>
              </w:rPr>
            </w:pPr>
            <w:r>
              <w:rPr>
                <w:sz w:val="12"/>
                <w:szCs w:val="12"/>
              </w:rPr>
              <w:t xml:space="preserve">    Aplica Gestión Territorial: NO</w:t>
            </w:r>
          </w:p>
          <w:p w:rsidR="00F46561" w:rsidRDefault="00F46561">
            <w:pPr>
              <w:rPr>
                <w:sz w:val="12"/>
                <w:szCs w:val="12"/>
              </w:rPr>
            </w:pPr>
          </w:p>
          <w:p w:rsidR="00F46561" w:rsidRDefault="00F46561">
            <w:pPr>
              <w:rPr>
                <w:sz w:val="12"/>
                <w:szCs w:val="12"/>
              </w:rPr>
            </w:pPr>
          </w:p>
        </w:tc>
        <w:tc>
          <w:tcPr>
            <w:tcW w:w="1680" w:type="dxa"/>
          </w:tcPr>
          <w:p w:rsidR="00F46561" w:rsidRPr="009928AD" w:rsidRDefault="00F46561">
            <w:pPr>
              <w:jc w:val="center"/>
              <w:rPr>
                <w:bCs/>
                <w:sz w:val="18"/>
                <w:szCs w:val="18"/>
              </w:rPr>
            </w:pPr>
            <w:r>
              <w:rPr>
                <w:bCs/>
                <w:sz w:val="18"/>
                <w:szCs w:val="18"/>
              </w:rPr>
              <w:lastRenderedPageBreak/>
              <w:t xml:space="preserve">(N° de obras terminadas en el año t, para las cuales el servicio de edificación pública entregado por la DA fue evaluado como bueno, muy bueno y/o excelente por los mandantes/N° total Obras terminadas y evaluadas por los </w:t>
            </w:r>
            <w:r>
              <w:rPr>
                <w:bCs/>
                <w:sz w:val="18"/>
                <w:szCs w:val="18"/>
              </w:rPr>
              <w:lastRenderedPageBreak/>
              <w:t>mandantes en el año t)*100</w:t>
            </w:r>
          </w:p>
        </w:tc>
        <w:tc>
          <w:tcPr>
            <w:tcW w:w="960" w:type="dxa"/>
          </w:tcPr>
          <w:p w:rsidR="00F46561" w:rsidRDefault="00F46561">
            <w:pPr>
              <w:jc w:val="center"/>
              <w:rPr>
                <w:bCs/>
                <w:sz w:val="18"/>
                <w:szCs w:val="18"/>
              </w:rPr>
            </w:pPr>
            <w:r>
              <w:rPr>
                <w:bCs/>
                <w:sz w:val="18"/>
                <w:szCs w:val="18"/>
              </w:rPr>
              <w:lastRenderedPageBreak/>
              <w:t>100 %</w:t>
            </w:r>
          </w:p>
          <w:p w:rsidR="00F46561" w:rsidRDefault="00F46561">
            <w:pPr>
              <w:jc w:val="center"/>
              <w:rPr>
                <w:bCs/>
                <w:sz w:val="18"/>
                <w:szCs w:val="18"/>
              </w:rPr>
            </w:pPr>
            <w:r>
              <w:rPr>
                <w:bCs/>
                <w:sz w:val="18"/>
                <w:szCs w:val="18"/>
              </w:rPr>
              <w:t>(32/32)*100</w:t>
            </w:r>
          </w:p>
          <w:p w:rsidR="00F46561" w:rsidRDefault="00F46561">
            <w:pPr>
              <w:jc w:val="center"/>
              <w:rPr>
                <w:bCs/>
                <w:sz w:val="18"/>
                <w:szCs w:val="18"/>
              </w:rPr>
            </w:pPr>
          </w:p>
          <w:p w:rsidR="00F46561" w:rsidRDefault="00F46561">
            <w:pPr>
              <w:jc w:val="center"/>
              <w:rPr>
                <w:bCs/>
                <w:sz w:val="18"/>
                <w:szCs w:val="18"/>
              </w:rPr>
            </w:pPr>
          </w:p>
          <w:p w:rsidR="00F46561" w:rsidRDefault="00F46561">
            <w:pPr>
              <w:jc w:val="center"/>
              <w:rPr>
                <w:bCs/>
                <w:sz w:val="18"/>
                <w:szCs w:val="18"/>
              </w:rPr>
            </w:pPr>
          </w:p>
          <w:p w:rsidR="00F46561" w:rsidRDefault="00F46561">
            <w:pPr>
              <w:jc w:val="center"/>
              <w:rPr>
                <w:bCs/>
                <w:sz w:val="18"/>
                <w:szCs w:val="18"/>
              </w:rPr>
            </w:pPr>
          </w:p>
          <w:p w:rsidR="00F46561" w:rsidRPr="009928AD" w:rsidRDefault="00F46561">
            <w:pPr>
              <w:jc w:val="center"/>
              <w:rPr>
                <w:bCs/>
                <w:sz w:val="18"/>
                <w:szCs w:val="18"/>
              </w:rPr>
            </w:pPr>
          </w:p>
        </w:tc>
        <w:tc>
          <w:tcPr>
            <w:tcW w:w="960" w:type="dxa"/>
          </w:tcPr>
          <w:p w:rsidR="00F46561" w:rsidRDefault="00F46561">
            <w:pPr>
              <w:jc w:val="center"/>
              <w:rPr>
                <w:bCs/>
                <w:sz w:val="18"/>
                <w:szCs w:val="18"/>
              </w:rPr>
            </w:pPr>
            <w:r>
              <w:rPr>
                <w:bCs/>
                <w:sz w:val="18"/>
                <w:szCs w:val="18"/>
              </w:rPr>
              <w:t>100 %</w:t>
            </w:r>
          </w:p>
          <w:p w:rsidR="00F46561" w:rsidRDefault="00F46561">
            <w:pPr>
              <w:jc w:val="center"/>
              <w:rPr>
                <w:bCs/>
                <w:sz w:val="18"/>
                <w:szCs w:val="18"/>
              </w:rPr>
            </w:pPr>
            <w:r>
              <w:rPr>
                <w:bCs/>
                <w:sz w:val="18"/>
                <w:szCs w:val="18"/>
              </w:rPr>
              <w:t>(25/25)*100</w:t>
            </w:r>
          </w:p>
          <w:p w:rsidR="00F46561" w:rsidRDefault="00F46561">
            <w:pPr>
              <w:jc w:val="center"/>
              <w:rPr>
                <w:bCs/>
                <w:sz w:val="18"/>
                <w:szCs w:val="18"/>
              </w:rPr>
            </w:pPr>
          </w:p>
          <w:p w:rsidR="00F46561" w:rsidRDefault="00F46561">
            <w:pPr>
              <w:jc w:val="center"/>
              <w:rPr>
                <w:bCs/>
                <w:sz w:val="18"/>
                <w:szCs w:val="18"/>
              </w:rPr>
            </w:pPr>
          </w:p>
          <w:p w:rsidR="00F46561" w:rsidRDefault="00F46561">
            <w:pPr>
              <w:jc w:val="center"/>
              <w:rPr>
                <w:bCs/>
                <w:sz w:val="18"/>
                <w:szCs w:val="18"/>
              </w:rPr>
            </w:pPr>
          </w:p>
          <w:p w:rsidR="00F46561" w:rsidRDefault="00F46561">
            <w:pPr>
              <w:jc w:val="center"/>
              <w:rPr>
                <w:bCs/>
                <w:sz w:val="18"/>
                <w:szCs w:val="18"/>
              </w:rPr>
            </w:pPr>
          </w:p>
          <w:p w:rsidR="00F46561" w:rsidRPr="009928AD" w:rsidRDefault="00F46561">
            <w:pPr>
              <w:jc w:val="center"/>
              <w:rPr>
                <w:bCs/>
                <w:sz w:val="18"/>
                <w:szCs w:val="18"/>
              </w:rPr>
            </w:pPr>
          </w:p>
        </w:tc>
        <w:tc>
          <w:tcPr>
            <w:tcW w:w="960" w:type="dxa"/>
          </w:tcPr>
          <w:p w:rsidR="00F46561" w:rsidRDefault="00F46561">
            <w:pPr>
              <w:jc w:val="center"/>
              <w:rPr>
                <w:bCs/>
                <w:sz w:val="18"/>
                <w:szCs w:val="18"/>
              </w:rPr>
            </w:pPr>
            <w:r>
              <w:rPr>
                <w:bCs/>
                <w:sz w:val="18"/>
                <w:szCs w:val="18"/>
              </w:rPr>
              <w:t>100 %</w:t>
            </w:r>
          </w:p>
          <w:p w:rsidR="00F46561" w:rsidRDefault="00F46561">
            <w:pPr>
              <w:jc w:val="center"/>
              <w:rPr>
                <w:bCs/>
                <w:sz w:val="18"/>
                <w:szCs w:val="18"/>
              </w:rPr>
            </w:pPr>
            <w:r>
              <w:rPr>
                <w:bCs/>
                <w:sz w:val="18"/>
                <w:szCs w:val="18"/>
              </w:rPr>
              <w:t>(17/17)*100</w:t>
            </w:r>
          </w:p>
          <w:p w:rsidR="00F46561" w:rsidRDefault="00F46561">
            <w:pPr>
              <w:jc w:val="center"/>
              <w:rPr>
                <w:bCs/>
                <w:sz w:val="18"/>
                <w:szCs w:val="18"/>
              </w:rPr>
            </w:pPr>
          </w:p>
          <w:p w:rsidR="00F46561" w:rsidRDefault="00F46561">
            <w:pPr>
              <w:jc w:val="center"/>
              <w:rPr>
                <w:bCs/>
                <w:sz w:val="18"/>
                <w:szCs w:val="18"/>
              </w:rPr>
            </w:pPr>
          </w:p>
          <w:p w:rsidR="00F46561" w:rsidRDefault="00F46561">
            <w:pPr>
              <w:jc w:val="center"/>
              <w:rPr>
                <w:bCs/>
                <w:sz w:val="18"/>
                <w:szCs w:val="18"/>
              </w:rPr>
            </w:pPr>
          </w:p>
          <w:p w:rsidR="00F46561" w:rsidRDefault="00F46561">
            <w:pPr>
              <w:jc w:val="center"/>
              <w:rPr>
                <w:bCs/>
                <w:sz w:val="18"/>
                <w:szCs w:val="18"/>
              </w:rPr>
            </w:pPr>
            <w:r>
              <w:rPr>
                <w:bCs/>
                <w:sz w:val="18"/>
                <w:szCs w:val="18"/>
              </w:rPr>
              <w:t xml:space="preserve"> </w:t>
            </w:r>
          </w:p>
          <w:p w:rsidR="00F46561" w:rsidRPr="009928AD" w:rsidRDefault="00F46561">
            <w:pPr>
              <w:jc w:val="center"/>
              <w:rPr>
                <w:bCs/>
                <w:sz w:val="18"/>
                <w:szCs w:val="18"/>
              </w:rPr>
            </w:pPr>
          </w:p>
        </w:tc>
        <w:tc>
          <w:tcPr>
            <w:tcW w:w="960" w:type="dxa"/>
          </w:tcPr>
          <w:p w:rsidR="00F46561" w:rsidRDefault="00F46561">
            <w:pPr>
              <w:jc w:val="center"/>
              <w:rPr>
                <w:bCs/>
                <w:sz w:val="18"/>
                <w:szCs w:val="18"/>
              </w:rPr>
            </w:pPr>
            <w:r>
              <w:rPr>
                <w:bCs/>
                <w:sz w:val="18"/>
                <w:szCs w:val="18"/>
              </w:rPr>
              <w:t>0 %</w:t>
            </w:r>
          </w:p>
          <w:p w:rsidR="00F46561" w:rsidRDefault="00F46561">
            <w:pPr>
              <w:jc w:val="center"/>
              <w:rPr>
                <w:bCs/>
                <w:sz w:val="18"/>
                <w:szCs w:val="18"/>
              </w:rPr>
            </w:pPr>
          </w:p>
          <w:p w:rsidR="00F46561" w:rsidRDefault="00F46561">
            <w:pPr>
              <w:jc w:val="center"/>
              <w:rPr>
                <w:bCs/>
                <w:sz w:val="18"/>
                <w:szCs w:val="18"/>
              </w:rPr>
            </w:pPr>
          </w:p>
          <w:p w:rsidR="00F46561" w:rsidRDefault="00F46561">
            <w:pPr>
              <w:jc w:val="center"/>
              <w:rPr>
                <w:bCs/>
                <w:sz w:val="18"/>
                <w:szCs w:val="18"/>
              </w:rPr>
            </w:pPr>
          </w:p>
          <w:p w:rsidR="00F46561" w:rsidRDefault="00F46561">
            <w:pPr>
              <w:jc w:val="center"/>
              <w:rPr>
                <w:bCs/>
                <w:sz w:val="18"/>
                <w:szCs w:val="18"/>
              </w:rPr>
            </w:pPr>
          </w:p>
          <w:p w:rsidR="00F46561" w:rsidRPr="009928AD" w:rsidRDefault="00F46561">
            <w:pPr>
              <w:jc w:val="center"/>
              <w:rPr>
                <w:bCs/>
                <w:sz w:val="18"/>
                <w:szCs w:val="18"/>
              </w:rPr>
            </w:pPr>
          </w:p>
        </w:tc>
        <w:tc>
          <w:tcPr>
            <w:tcW w:w="960" w:type="dxa"/>
          </w:tcPr>
          <w:p w:rsidR="00F46561" w:rsidRDefault="00F46561">
            <w:pPr>
              <w:jc w:val="center"/>
              <w:rPr>
                <w:bCs/>
                <w:sz w:val="18"/>
                <w:szCs w:val="18"/>
              </w:rPr>
            </w:pPr>
            <w:r>
              <w:rPr>
                <w:bCs/>
                <w:sz w:val="18"/>
                <w:szCs w:val="18"/>
              </w:rPr>
              <w:t>95  %</w:t>
            </w:r>
          </w:p>
          <w:p w:rsidR="00F46561" w:rsidRDefault="00F46561">
            <w:pPr>
              <w:jc w:val="center"/>
              <w:rPr>
                <w:bCs/>
                <w:sz w:val="18"/>
                <w:szCs w:val="18"/>
              </w:rPr>
            </w:pPr>
            <w:r>
              <w:rPr>
                <w:bCs/>
                <w:sz w:val="18"/>
                <w:szCs w:val="18"/>
              </w:rPr>
              <w:t xml:space="preserve">(18/19)*100 </w:t>
            </w:r>
          </w:p>
          <w:p w:rsidR="00F46561" w:rsidRDefault="00F46561">
            <w:pPr>
              <w:jc w:val="center"/>
              <w:rPr>
                <w:bCs/>
                <w:sz w:val="18"/>
                <w:szCs w:val="18"/>
              </w:rPr>
            </w:pPr>
          </w:p>
          <w:p w:rsidR="00F46561" w:rsidRDefault="00F46561">
            <w:pPr>
              <w:jc w:val="center"/>
              <w:rPr>
                <w:bCs/>
                <w:sz w:val="18"/>
                <w:szCs w:val="18"/>
              </w:rPr>
            </w:pPr>
          </w:p>
          <w:p w:rsidR="00F46561" w:rsidRDefault="00F46561">
            <w:pPr>
              <w:jc w:val="center"/>
              <w:rPr>
                <w:bCs/>
                <w:sz w:val="18"/>
                <w:szCs w:val="18"/>
              </w:rPr>
            </w:pPr>
          </w:p>
          <w:p w:rsidR="00F46561" w:rsidRDefault="00F46561">
            <w:pPr>
              <w:jc w:val="center"/>
              <w:rPr>
                <w:bCs/>
                <w:sz w:val="18"/>
                <w:szCs w:val="18"/>
              </w:rPr>
            </w:pPr>
          </w:p>
          <w:p w:rsidR="00F46561" w:rsidRPr="009928AD" w:rsidRDefault="00F46561">
            <w:pPr>
              <w:jc w:val="center"/>
              <w:rPr>
                <w:bCs/>
                <w:sz w:val="18"/>
                <w:szCs w:val="18"/>
              </w:rPr>
            </w:pPr>
          </w:p>
        </w:tc>
        <w:tc>
          <w:tcPr>
            <w:tcW w:w="840" w:type="dxa"/>
          </w:tcPr>
          <w:p w:rsidR="00F46561" w:rsidRPr="009928AD" w:rsidRDefault="00437FAD">
            <w:pPr>
              <w:jc w:val="center"/>
              <w:rPr>
                <w:bCs/>
                <w:sz w:val="18"/>
                <w:szCs w:val="18"/>
              </w:rPr>
            </w:pPr>
            <w:r w:rsidRPr="00904EDA">
              <w:rPr>
                <w:sz w:val="18"/>
                <w:szCs w:val="18"/>
              </w:rPr>
              <w:t>3</w:t>
            </w:r>
          </w:p>
        </w:tc>
      </w:tr>
      <w:tr w:rsidR="00AB13B9" w:rsidTr="00F46561">
        <w:tc>
          <w:tcPr>
            <w:tcW w:w="2028" w:type="dxa"/>
          </w:tcPr>
          <w:p w:rsidR="00F65F99" w:rsidRDefault="009857EC">
            <w:pPr>
              <w:rPr>
                <w:sz w:val="18"/>
                <w:szCs w:val="18"/>
              </w:rPr>
            </w:pPr>
            <w:r>
              <w:t xml:space="preserve"> </w:t>
            </w:r>
            <w:r w:rsidR="00F65F99">
              <w:rPr>
                <w:sz w:val="18"/>
                <w:szCs w:val="18"/>
              </w:rPr>
              <w:sym w:font="Symbol" w:char="F0B7"/>
            </w:r>
            <w:r w:rsidR="00F65F99">
              <w:rPr>
                <w:sz w:val="18"/>
                <w:szCs w:val="18"/>
              </w:rPr>
              <w:t xml:space="preserve">Obras de Arte asociadas a la infraestructura pública. </w:t>
            </w:r>
          </w:p>
          <w:p w:rsidR="00F65F99" w:rsidRDefault="009857EC">
            <w:pPr>
              <w:rPr>
                <w:i/>
                <w:sz w:val="14"/>
              </w:rPr>
            </w:pPr>
            <w:r>
              <w:t xml:space="preserve"> </w:t>
            </w:r>
            <w:r w:rsidR="00F65F99">
              <w:rPr>
                <w:i/>
                <w:sz w:val="14"/>
                <w:szCs w:val="14"/>
              </w:rPr>
              <w:sym w:font="Times New Roman" w:char="00B7"/>
            </w:r>
          </w:p>
          <w:p w:rsidR="00F65F99" w:rsidRDefault="00F65F99">
            <w:pPr>
              <w:jc w:val="both"/>
              <w:rPr>
                <w:i/>
                <w:sz w:val="14"/>
              </w:rPr>
            </w:pPr>
          </w:p>
          <w:p w:rsidR="00F65F99" w:rsidRDefault="00F65F99">
            <w:pPr>
              <w:jc w:val="both"/>
              <w:rPr>
                <w:i/>
                <w:sz w:val="14"/>
              </w:rPr>
            </w:pPr>
          </w:p>
          <w:p w:rsidR="00F65F99" w:rsidRDefault="00F65F99">
            <w:pPr>
              <w:jc w:val="both"/>
              <w:rPr>
                <w:i/>
                <w:sz w:val="14"/>
              </w:rPr>
            </w:pPr>
          </w:p>
          <w:p w:rsidR="00F65F99" w:rsidRDefault="00F65F99">
            <w:pPr>
              <w:jc w:val="both"/>
              <w:rPr>
                <w:i/>
                <w:sz w:val="14"/>
              </w:rPr>
            </w:pPr>
          </w:p>
        </w:tc>
        <w:tc>
          <w:tcPr>
            <w:tcW w:w="2880" w:type="dxa"/>
          </w:tcPr>
          <w:p w:rsidR="00F46561" w:rsidRDefault="00F46561">
            <w:pPr>
              <w:jc w:val="both"/>
              <w:rPr>
                <w:i/>
                <w:iCs/>
                <w:sz w:val="18"/>
                <w:szCs w:val="18"/>
                <w:u w:val="single"/>
              </w:rPr>
            </w:pPr>
            <w:r>
              <w:rPr>
                <w:i/>
                <w:iCs/>
                <w:sz w:val="18"/>
                <w:szCs w:val="18"/>
                <w:u w:val="single"/>
              </w:rPr>
              <w:t>Eficacia/Producto</w:t>
            </w:r>
          </w:p>
          <w:p w:rsidR="00F46561" w:rsidRDefault="00F46561">
            <w:pPr>
              <w:jc w:val="both"/>
              <w:rPr>
                <w:sz w:val="18"/>
                <w:szCs w:val="18"/>
              </w:rPr>
            </w:pPr>
          </w:p>
          <w:p w:rsidR="00F46561" w:rsidRDefault="00F46561">
            <w:pPr>
              <w:jc w:val="both"/>
              <w:rPr>
                <w:sz w:val="18"/>
                <w:szCs w:val="18"/>
              </w:rPr>
            </w:pPr>
          </w:p>
          <w:p w:rsidR="00F46561" w:rsidRDefault="00F46561">
            <w:pPr>
              <w:rPr>
                <w:sz w:val="18"/>
                <w:szCs w:val="18"/>
              </w:rPr>
            </w:pPr>
            <w:r>
              <w:rPr>
                <w:sz w:val="18"/>
                <w:szCs w:val="18"/>
              </w:rPr>
              <w:t>4 Porcentaje de obras de arte incorporadas a las obras de infraestructura pública en el año t, respecto del total de solicitudes de incorporación de obras de arte recibidas en el año t-1.   </w:t>
            </w:r>
          </w:p>
          <w:p w:rsidR="00F46561" w:rsidRDefault="00F46561">
            <w:pPr>
              <w:rPr>
                <w:sz w:val="12"/>
                <w:szCs w:val="12"/>
              </w:rPr>
            </w:pPr>
          </w:p>
          <w:p w:rsidR="00F46561" w:rsidRDefault="00F46561">
            <w:pPr>
              <w:rPr>
                <w:sz w:val="12"/>
                <w:szCs w:val="12"/>
              </w:rPr>
            </w:pPr>
          </w:p>
          <w:p w:rsidR="00F46561" w:rsidRDefault="00F46561">
            <w:pPr>
              <w:rPr>
                <w:sz w:val="12"/>
                <w:szCs w:val="12"/>
              </w:rPr>
            </w:pPr>
            <w:r>
              <w:rPr>
                <w:sz w:val="12"/>
                <w:szCs w:val="12"/>
              </w:rPr>
              <w:t>Aplica Desagregación por Sexo: SI</w:t>
            </w:r>
          </w:p>
          <w:p w:rsidR="00F46561" w:rsidRDefault="00F46561">
            <w:pPr>
              <w:rPr>
                <w:sz w:val="12"/>
                <w:szCs w:val="12"/>
              </w:rPr>
            </w:pPr>
            <w:r>
              <w:rPr>
                <w:sz w:val="12"/>
                <w:szCs w:val="12"/>
              </w:rPr>
              <w:t xml:space="preserve">    Aplica Gestión Territorial: NO</w:t>
            </w:r>
          </w:p>
          <w:p w:rsidR="00F46561" w:rsidRDefault="00F46561">
            <w:pPr>
              <w:rPr>
                <w:sz w:val="12"/>
                <w:szCs w:val="12"/>
              </w:rPr>
            </w:pPr>
          </w:p>
          <w:p w:rsidR="00F46561" w:rsidRDefault="00F46561">
            <w:pPr>
              <w:rPr>
                <w:sz w:val="12"/>
                <w:szCs w:val="12"/>
              </w:rPr>
            </w:pPr>
          </w:p>
        </w:tc>
        <w:tc>
          <w:tcPr>
            <w:tcW w:w="1680" w:type="dxa"/>
          </w:tcPr>
          <w:p w:rsidR="00F46561" w:rsidRPr="009928AD" w:rsidRDefault="00F46561">
            <w:pPr>
              <w:jc w:val="center"/>
              <w:rPr>
                <w:bCs/>
                <w:sz w:val="18"/>
                <w:szCs w:val="18"/>
              </w:rPr>
            </w:pPr>
            <w:r>
              <w:rPr>
                <w:bCs/>
                <w:sz w:val="18"/>
                <w:szCs w:val="18"/>
              </w:rPr>
              <w:t>(Nº de Obras de Arte incorporadas en el año t/Nº Total de solicitudes de incorporación de obras de arte recibidas en el año t-1)*100</w:t>
            </w:r>
          </w:p>
        </w:tc>
        <w:tc>
          <w:tcPr>
            <w:tcW w:w="960" w:type="dxa"/>
          </w:tcPr>
          <w:p w:rsidR="00F46561" w:rsidRDefault="00F46561">
            <w:pPr>
              <w:jc w:val="center"/>
              <w:rPr>
                <w:bCs/>
                <w:sz w:val="18"/>
                <w:szCs w:val="18"/>
              </w:rPr>
            </w:pPr>
            <w:r>
              <w:rPr>
                <w:bCs/>
                <w:sz w:val="18"/>
                <w:szCs w:val="18"/>
              </w:rPr>
              <w:t>100 %</w:t>
            </w:r>
          </w:p>
          <w:p w:rsidR="00F46561" w:rsidRDefault="00F46561">
            <w:pPr>
              <w:jc w:val="center"/>
              <w:rPr>
                <w:bCs/>
                <w:sz w:val="18"/>
                <w:szCs w:val="18"/>
              </w:rPr>
            </w:pPr>
            <w:r>
              <w:rPr>
                <w:bCs/>
                <w:sz w:val="18"/>
                <w:szCs w:val="18"/>
              </w:rPr>
              <w:t>(2/2)*100</w:t>
            </w:r>
          </w:p>
          <w:p w:rsidR="00F46561" w:rsidRDefault="00F46561">
            <w:pPr>
              <w:jc w:val="center"/>
              <w:rPr>
                <w:bCs/>
                <w:sz w:val="18"/>
                <w:szCs w:val="18"/>
              </w:rPr>
            </w:pPr>
          </w:p>
          <w:p w:rsidR="00F46561" w:rsidRDefault="00F46561">
            <w:pPr>
              <w:jc w:val="center"/>
              <w:rPr>
                <w:bCs/>
                <w:sz w:val="18"/>
                <w:szCs w:val="18"/>
              </w:rPr>
            </w:pPr>
          </w:p>
          <w:p w:rsidR="00F46561" w:rsidRDefault="00F46561">
            <w:pPr>
              <w:jc w:val="center"/>
              <w:rPr>
                <w:bCs/>
                <w:sz w:val="18"/>
                <w:szCs w:val="18"/>
              </w:rPr>
            </w:pPr>
          </w:p>
          <w:p w:rsidR="00F46561" w:rsidRDefault="00F46561">
            <w:pPr>
              <w:jc w:val="center"/>
              <w:rPr>
                <w:bCs/>
                <w:sz w:val="18"/>
                <w:szCs w:val="18"/>
              </w:rPr>
            </w:pPr>
          </w:p>
          <w:p w:rsidR="00F46561" w:rsidRDefault="00F46561">
            <w:pPr>
              <w:jc w:val="center"/>
              <w:rPr>
                <w:bCs/>
                <w:sz w:val="18"/>
                <w:szCs w:val="18"/>
              </w:rPr>
            </w:pPr>
          </w:p>
          <w:p w:rsidR="00F46561" w:rsidRDefault="00F46561">
            <w:pPr>
              <w:jc w:val="center"/>
              <w:rPr>
                <w:bCs/>
                <w:sz w:val="18"/>
                <w:szCs w:val="18"/>
              </w:rPr>
            </w:pPr>
            <w:r>
              <w:rPr>
                <w:bCs/>
                <w:sz w:val="18"/>
                <w:szCs w:val="18"/>
              </w:rPr>
              <w:t>H: 50</w:t>
            </w:r>
          </w:p>
          <w:p w:rsidR="00F46561" w:rsidRDefault="00F46561">
            <w:pPr>
              <w:jc w:val="center"/>
              <w:rPr>
                <w:bCs/>
                <w:sz w:val="18"/>
                <w:szCs w:val="18"/>
              </w:rPr>
            </w:pPr>
            <w:r>
              <w:rPr>
                <w:bCs/>
                <w:sz w:val="18"/>
                <w:szCs w:val="18"/>
              </w:rPr>
              <w:t>(1/2)*100</w:t>
            </w:r>
          </w:p>
          <w:p w:rsidR="00F46561" w:rsidRDefault="00F46561">
            <w:pPr>
              <w:jc w:val="center"/>
              <w:rPr>
                <w:bCs/>
                <w:sz w:val="18"/>
                <w:szCs w:val="18"/>
              </w:rPr>
            </w:pPr>
          </w:p>
          <w:p w:rsidR="00F46561" w:rsidRDefault="00F46561">
            <w:pPr>
              <w:jc w:val="center"/>
              <w:rPr>
                <w:bCs/>
                <w:sz w:val="18"/>
                <w:szCs w:val="18"/>
              </w:rPr>
            </w:pPr>
            <w:r>
              <w:rPr>
                <w:bCs/>
                <w:sz w:val="18"/>
                <w:szCs w:val="18"/>
              </w:rPr>
              <w:t>M: 50</w:t>
            </w:r>
          </w:p>
          <w:p w:rsidR="00F46561" w:rsidRDefault="00F46561">
            <w:pPr>
              <w:jc w:val="center"/>
              <w:rPr>
                <w:bCs/>
                <w:sz w:val="18"/>
                <w:szCs w:val="18"/>
              </w:rPr>
            </w:pPr>
            <w:r>
              <w:rPr>
                <w:bCs/>
                <w:sz w:val="18"/>
                <w:szCs w:val="18"/>
              </w:rPr>
              <w:t>(1/2)*100</w:t>
            </w:r>
          </w:p>
          <w:p w:rsidR="00F46561" w:rsidRPr="009928AD" w:rsidRDefault="00F46561">
            <w:pPr>
              <w:jc w:val="center"/>
              <w:rPr>
                <w:bCs/>
                <w:sz w:val="18"/>
                <w:szCs w:val="18"/>
              </w:rPr>
            </w:pPr>
          </w:p>
        </w:tc>
        <w:tc>
          <w:tcPr>
            <w:tcW w:w="960" w:type="dxa"/>
          </w:tcPr>
          <w:p w:rsidR="00F46561" w:rsidRDefault="00F46561">
            <w:pPr>
              <w:jc w:val="center"/>
              <w:rPr>
                <w:bCs/>
                <w:sz w:val="18"/>
                <w:szCs w:val="18"/>
              </w:rPr>
            </w:pPr>
            <w:r>
              <w:rPr>
                <w:bCs/>
                <w:sz w:val="18"/>
                <w:szCs w:val="18"/>
              </w:rPr>
              <w:t>100 %</w:t>
            </w:r>
          </w:p>
          <w:p w:rsidR="00F46561" w:rsidRDefault="00F46561">
            <w:pPr>
              <w:jc w:val="center"/>
              <w:rPr>
                <w:bCs/>
                <w:sz w:val="18"/>
                <w:szCs w:val="18"/>
              </w:rPr>
            </w:pPr>
            <w:r>
              <w:rPr>
                <w:bCs/>
                <w:sz w:val="18"/>
                <w:szCs w:val="18"/>
              </w:rPr>
              <w:t>(2/2)*100</w:t>
            </w:r>
          </w:p>
          <w:p w:rsidR="00F46561" w:rsidRDefault="00F46561">
            <w:pPr>
              <w:jc w:val="center"/>
              <w:rPr>
                <w:bCs/>
                <w:sz w:val="18"/>
                <w:szCs w:val="18"/>
              </w:rPr>
            </w:pPr>
          </w:p>
          <w:p w:rsidR="00F46561" w:rsidRDefault="00F46561">
            <w:pPr>
              <w:jc w:val="center"/>
              <w:rPr>
                <w:bCs/>
                <w:sz w:val="18"/>
                <w:szCs w:val="18"/>
              </w:rPr>
            </w:pPr>
          </w:p>
          <w:p w:rsidR="00F46561" w:rsidRDefault="00F46561">
            <w:pPr>
              <w:jc w:val="center"/>
              <w:rPr>
                <w:bCs/>
                <w:sz w:val="18"/>
                <w:szCs w:val="18"/>
              </w:rPr>
            </w:pPr>
          </w:p>
          <w:p w:rsidR="00F46561" w:rsidRDefault="00F46561">
            <w:pPr>
              <w:jc w:val="center"/>
              <w:rPr>
                <w:bCs/>
                <w:sz w:val="18"/>
                <w:szCs w:val="18"/>
              </w:rPr>
            </w:pPr>
          </w:p>
          <w:p w:rsidR="00F46561" w:rsidRDefault="00F46561">
            <w:pPr>
              <w:jc w:val="center"/>
              <w:rPr>
                <w:bCs/>
                <w:sz w:val="18"/>
                <w:szCs w:val="18"/>
              </w:rPr>
            </w:pPr>
          </w:p>
          <w:p w:rsidR="00F46561" w:rsidRDefault="00F46561">
            <w:pPr>
              <w:jc w:val="center"/>
              <w:rPr>
                <w:bCs/>
                <w:sz w:val="18"/>
                <w:szCs w:val="18"/>
              </w:rPr>
            </w:pPr>
            <w:r>
              <w:rPr>
                <w:bCs/>
                <w:sz w:val="18"/>
                <w:szCs w:val="18"/>
              </w:rPr>
              <w:t>H: 50</w:t>
            </w:r>
          </w:p>
          <w:p w:rsidR="00F46561" w:rsidRDefault="00F46561">
            <w:pPr>
              <w:jc w:val="center"/>
              <w:rPr>
                <w:bCs/>
                <w:sz w:val="18"/>
                <w:szCs w:val="18"/>
              </w:rPr>
            </w:pPr>
            <w:r>
              <w:rPr>
                <w:bCs/>
                <w:sz w:val="18"/>
                <w:szCs w:val="18"/>
              </w:rPr>
              <w:t>(1/2)*100</w:t>
            </w:r>
          </w:p>
          <w:p w:rsidR="00F46561" w:rsidRDefault="00F46561">
            <w:pPr>
              <w:jc w:val="center"/>
              <w:rPr>
                <w:bCs/>
                <w:sz w:val="18"/>
                <w:szCs w:val="18"/>
              </w:rPr>
            </w:pPr>
          </w:p>
          <w:p w:rsidR="00F46561" w:rsidRDefault="00F46561">
            <w:pPr>
              <w:jc w:val="center"/>
              <w:rPr>
                <w:bCs/>
                <w:sz w:val="18"/>
                <w:szCs w:val="18"/>
              </w:rPr>
            </w:pPr>
            <w:r>
              <w:rPr>
                <w:bCs/>
                <w:sz w:val="18"/>
                <w:szCs w:val="18"/>
              </w:rPr>
              <w:t>M: 50</w:t>
            </w:r>
          </w:p>
          <w:p w:rsidR="00F46561" w:rsidRDefault="00F46561">
            <w:pPr>
              <w:jc w:val="center"/>
              <w:rPr>
                <w:bCs/>
                <w:sz w:val="18"/>
                <w:szCs w:val="18"/>
              </w:rPr>
            </w:pPr>
            <w:r>
              <w:rPr>
                <w:bCs/>
                <w:sz w:val="18"/>
                <w:szCs w:val="18"/>
              </w:rPr>
              <w:t>(1/2)*100</w:t>
            </w:r>
          </w:p>
          <w:p w:rsidR="00F46561" w:rsidRPr="009928AD" w:rsidRDefault="00F46561">
            <w:pPr>
              <w:jc w:val="center"/>
              <w:rPr>
                <w:bCs/>
                <w:sz w:val="18"/>
                <w:szCs w:val="18"/>
              </w:rPr>
            </w:pPr>
          </w:p>
        </w:tc>
        <w:tc>
          <w:tcPr>
            <w:tcW w:w="960" w:type="dxa"/>
          </w:tcPr>
          <w:p w:rsidR="00F46561" w:rsidRDefault="00F46561">
            <w:pPr>
              <w:jc w:val="center"/>
              <w:rPr>
                <w:bCs/>
                <w:sz w:val="18"/>
                <w:szCs w:val="18"/>
              </w:rPr>
            </w:pPr>
            <w:r>
              <w:rPr>
                <w:bCs/>
                <w:sz w:val="18"/>
                <w:szCs w:val="18"/>
              </w:rPr>
              <w:t>0 %</w:t>
            </w:r>
          </w:p>
          <w:p w:rsidR="00F46561" w:rsidRDefault="00F46561">
            <w:pPr>
              <w:jc w:val="center"/>
              <w:rPr>
                <w:bCs/>
                <w:sz w:val="18"/>
                <w:szCs w:val="18"/>
              </w:rPr>
            </w:pPr>
            <w:r>
              <w:rPr>
                <w:bCs/>
                <w:sz w:val="18"/>
                <w:szCs w:val="18"/>
              </w:rPr>
              <w:t>(0/7)*100</w:t>
            </w:r>
          </w:p>
          <w:p w:rsidR="00F46561" w:rsidRDefault="00F46561">
            <w:pPr>
              <w:jc w:val="center"/>
              <w:rPr>
                <w:bCs/>
                <w:sz w:val="18"/>
                <w:szCs w:val="18"/>
              </w:rPr>
            </w:pPr>
          </w:p>
          <w:p w:rsidR="00F46561" w:rsidRDefault="00F46561">
            <w:pPr>
              <w:jc w:val="center"/>
              <w:rPr>
                <w:bCs/>
                <w:sz w:val="18"/>
                <w:szCs w:val="18"/>
              </w:rPr>
            </w:pPr>
          </w:p>
          <w:p w:rsidR="00F46561" w:rsidRDefault="00F46561">
            <w:pPr>
              <w:jc w:val="center"/>
              <w:rPr>
                <w:bCs/>
                <w:sz w:val="18"/>
                <w:szCs w:val="18"/>
              </w:rPr>
            </w:pPr>
          </w:p>
          <w:p w:rsidR="00F46561" w:rsidRDefault="00F46561">
            <w:pPr>
              <w:jc w:val="center"/>
              <w:rPr>
                <w:bCs/>
                <w:sz w:val="18"/>
                <w:szCs w:val="18"/>
              </w:rPr>
            </w:pPr>
          </w:p>
          <w:p w:rsidR="00F46561" w:rsidRDefault="00F46561">
            <w:pPr>
              <w:jc w:val="center"/>
              <w:rPr>
                <w:bCs/>
                <w:sz w:val="18"/>
                <w:szCs w:val="18"/>
              </w:rPr>
            </w:pPr>
          </w:p>
          <w:p w:rsidR="00F46561" w:rsidRDefault="00F46561">
            <w:pPr>
              <w:jc w:val="center"/>
              <w:rPr>
                <w:bCs/>
                <w:sz w:val="18"/>
                <w:szCs w:val="18"/>
              </w:rPr>
            </w:pPr>
            <w:r>
              <w:rPr>
                <w:bCs/>
                <w:sz w:val="18"/>
                <w:szCs w:val="18"/>
              </w:rPr>
              <w:t>H: 0</w:t>
            </w:r>
          </w:p>
          <w:p w:rsidR="00F46561" w:rsidRDefault="00F46561">
            <w:pPr>
              <w:jc w:val="center"/>
              <w:rPr>
                <w:bCs/>
                <w:sz w:val="18"/>
                <w:szCs w:val="18"/>
              </w:rPr>
            </w:pPr>
            <w:r>
              <w:rPr>
                <w:bCs/>
                <w:sz w:val="18"/>
                <w:szCs w:val="18"/>
              </w:rPr>
              <w:t>(0/0)*100</w:t>
            </w:r>
          </w:p>
          <w:p w:rsidR="00F46561" w:rsidRDefault="00F46561">
            <w:pPr>
              <w:jc w:val="center"/>
              <w:rPr>
                <w:bCs/>
                <w:sz w:val="18"/>
                <w:szCs w:val="18"/>
              </w:rPr>
            </w:pPr>
          </w:p>
          <w:p w:rsidR="00F46561" w:rsidRDefault="00F46561">
            <w:pPr>
              <w:jc w:val="center"/>
              <w:rPr>
                <w:bCs/>
                <w:sz w:val="18"/>
                <w:szCs w:val="18"/>
              </w:rPr>
            </w:pPr>
            <w:r>
              <w:rPr>
                <w:bCs/>
                <w:sz w:val="18"/>
                <w:szCs w:val="18"/>
              </w:rPr>
              <w:t>M: 0</w:t>
            </w:r>
          </w:p>
          <w:p w:rsidR="00F46561" w:rsidRDefault="00F46561">
            <w:pPr>
              <w:jc w:val="center"/>
              <w:rPr>
                <w:bCs/>
                <w:sz w:val="18"/>
                <w:szCs w:val="18"/>
              </w:rPr>
            </w:pPr>
            <w:r>
              <w:rPr>
                <w:bCs/>
                <w:sz w:val="18"/>
                <w:szCs w:val="18"/>
              </w:rPr>
              <w:t xml:space="preserve">(0/0)*100 </w:t>
            </w:r>
          </w:p>
          <w:p w:rsidR="00F46561" w:rsidRPr="009928AD" w:rsidRDefault="00F46561">
            <w:pPr>
              <w:jc w:val="center"/>
              <w:rPr>
                <w:bCs/>
                <w:sz w:val="18"/>
                <w:szCs w:val="18"/>
              </w:rPr>
            </w:pPr>
          </w:p>
        </w:tc>
        <w:tc>
          <w:tcPr>
            <w:tcW w:w="960" w:type="dxa"/>
          </w:tcPr>
          <w:p w:rsidR="00F46561" w:rsidRDefault="00F46561">
            <w:pPr>
              <w:jc w:val="center"/>
              <w:rPr>
                <w:bCs/>
                <w:sz w:val="18"/>
                <w:szCs w:val="18"/>
              </w:rPr>
            </w:pPr>
            <w:r>
              <w:rPr>
                <w:bCs/>
                <w:sz w:val="18"/>
                <w:szCs w:val="18"/>
              </w:rPr>
              <w:t>0 %</w:t>
            </w:r>
          </w:p>
          <w:p w:rsidR="00F46561" w:rsidRDefault="00F46561">
            <w:pPr>
              <w:jc w:val="center"/>
              <w:rPr>
                <w:bCs/>
                <w:sz w:val="18"/>
                <w:szCs w:val="18"/>
              </w:rPr>
            </w:pPr>
          </w:p>
          <w:p w:rsidR="00F46561" w:rsidRDefault="00F46561">
            <w:pPr>
              <w:jc w:val="center"/>
              <w:rPr>
                <w:bCs/>
                <w:sz w:val="18"/>
                <w:szCs w:val="18"/>
              </w:rPr>
            </w:pPr>
          </w:p>
          <w:p w:rsidR="00F46561" w:rsidRDefault="00F46561">
            <w:pPr>
              <w:jc w:val="center"/>
              <w:rPr>
                <w:bCs/>
                <w:sz w:val="18"/>
                <w:szCs w:val="18"/>
              </w:rPr>
            </w:pPr>
          </w:p>
          <w:p w:rsidR="00F46561" w:rsidRDefault="00F46561">
            <w:pPr>
              <w:jc w:val="center"/>
              <w:rPr>
                <w:bCs/>
                <w:sz w:val="18"/>
                <w:szCs w:val="18"/>
              </w:rPr>
            </w:pPr>
          </w:p>
          <w:p w:rsidR="00F46561" w:rsidRDefault="00F46561">
            <w:pPr>
              <w:jc w:val="center"/>
              <w:rPr>
                <w:bCs/>
                <w:sz w:val="18"/>
                <w:szCs w:val="18"/>
              </w:rPr>
            </w:pPr>
          </w:p>
          <w:p w:rsidR="00F46561" w:rsidRDefault="00F46561">
            <w:pPr>
              <w:jc w:val="center"/>
              <w:rPr>
                <w:bCs/>
                <w:sz w:val="18"/>
                <w:szCs w:val="18"/>
              </w:rPr>
            </w:pPr>
            <w:r>
              <w:rPr>
                <w:bCs/>
                <w:sz w:val="18"/>
                <w:szCs w:val="18"/>
              </w:rPr>
              <w:t>H: 0</w:t>
            </w:r>
          </w:p>
          <w:p w:rsidR="00F46561" w:rsidRDefault="00F46561">
            <w:pPr>
              <w:jc w:val="center"/>
              <w:rPr>
                <w:bCs/>
                <w:sz w:val="18"/>
                <w:szCs w:val="18"/>
              </w:rPr>
            </w:pPr>
          </w:p>
          <w:p w:rsidR="00F46561" w:rsidRDefault="00F46561">
            <w:pPr>
              <w:jc w:val="center"/>
              <w:rPr>
                <w:bCs/>
                <w:sz w:val="18"/>
                <w:szCs w:val="18"/>
              </w:rPr>
            </w:pPr>
            <w:r>
              <w:rPr>
                <w:bCs/>
                <w:sz w:val="18"/>
                <w:szCs w:val="18"/>
              </w:rPr>
              <w:t xml:space="preserve">M: 0 </w:t>
            </w:r>
          </w:p>
          <w:p w:rsidR="00F46561" w:rsidRPr="009928AD" w:rsidRDefault="00F46561">
            <w:pPr>
              <w:jc w:val="center"/>
              <w:rPr>
                <w:bCs/>
                <w:sz w:val="18"/>
                <w:szCs w:val="18"/>
              </w:rPr>
            </w:pPr>
          </w:p>
        </w:tc>
        <w:tc>
          <w:tcPr>
            <w:tcW w:w="960" w:type="dxa"/>
          </w:tcPr>
          <w:p w:rsidR="00F46561" w:rsidRDefault="00F46561">
            <w:pPr>
              <w:jc w:val="center"/>
              <w:rPr>
                <w:bCs/>
                <w:sz w:val="18"/>
                <w:szCs w:val="18"/>
              </w:rPr>
            </w:pPr>
            <w:r>
              <w:rPr>
                <w:bCs/>
                <w:sz w:val="18"/>
                <w:szCs w:val="18"/>
              </w:rPr>
              <w:t>100  %</w:t>
            </w:r>
          </w:p>
          <w:p w:rsidR="00F46561" w:rsidRDefault="00F46561">
            <w:pPr>
              <w:jc w:val="center"/>
              <w:rPr>
                <w:bCs/>
                <w:sz w:val="18"/>
                <w:szCs w:val="18"/>
              </w:rPr>
            </w:pPr>
            <w:r>
              <w:rPr>
                <w:bCs/>
                <w:sz w:val="18"/>
                <w:szCs w:val="18"/>
              </w:rPr>
              <w:t xml:space="preserve">(3/3)*100 </w:t>
            </w:r>
          </w:p>
          <w:p w:rsidR="00F46561" w:rsidRDefault="00F46561">
            <w:pPr>
              <w:jc w:val="center"/>
              <w:rPr>
                <w:bCs/>
                <w:sz w:val="18"/>
                <w:szCs w:val="18"/>
              </w:rPr>
            </w:pPr>
          </w:p>
          <w:p w:rsidR="00F46561" w:rsidRDefault="00F46561">
            <w:pPr>
              <w:jc w:val="center"/>
              <w:rPr>
                <w:bCs/>
                <w:sz w:val="18"/>
                <w:szCs w:val="18"/>
              </w:rPr>
            </w:pPr>
          </w:p>
          <w:p w:rsidR="00F46561" w:rsidRDefault="00F46561">
            <w:pPr>
              <w:jc w:val="center"/>
              <w:rPr>
                <w:bCs/>
                <w:sz w:val="18"/>
                <w:szCs w:val="18"/>
              </w:rPr>
            </w:pPr>
          </w:p>
          <w:p w:rsidR="00F46561" w:rsidRDefault="00F46561">
            <w:pPr>
              <w:jc w:val="center"/>
              <w:rPr>
                <w:bCs/>
                <w:sz w:val="18"/>
                <w:szCs w:val="18"/>
              </w:rPr>
            </w:pPr>
            <w:r>
              <w:rPr>
                <w:bCs/>
                <w:sz w:val="18"/>
                <w:szCs w:val="18"/>
              </w:rPr>
              <w:t xml:space="preserve"> </w:t>
            </w:r>
          </w:p>
          <w:p w:rsidR="00F46561" w:rsidRDefault="00F46561">
            <w:pPr>
              <w:jc w:val="center"/>
              <w:rPr>
                <w:bCs/>
                <w:sz w:val="18"/>
                <w:szCs w:val="18"/>
              </w:rPr>
            </w:pPr>
          </w:p>
          <w:p w:rsidR="00F46561" w:rsidRDefault="00F46561">
            <w:pPr>
              <w:jc w:val="center"/>
              <w:rPr>
                <w:bCs/>
                <w:sz w:val="18"/>
                <w:szCs w:val="18"/>
              </w:rPr>
            </w:pPr>
            <w:r>
              <w:rPr>
                <w:bCs/>
                <w:sz w:val="18"/>
                <w:szCs w:val="18"/>
              </w:rPr>
              <w:t>H: 67</w:t>
            </w:r>
          </w:p>
          <w:p w:rsidR="00F46561" w:rsidRDefault="00F46561">
            <w:pPr>
              <w:jc w:val="center"/>
              <w:rPr>
                <w:bCs/>
                <w:sz w:val="18"/>
                <w:szCs w:val="18"/>
              </w:rPr>
            </w:pPr>
            <w:r>
              <w:rPr>
                <w:bCs/>
                <w:sz w:val="18"/>
                <w:szCs w:val="18"/>
              </w:rPr>
              <w:t>(2/3)*100</w:t>
            </w:r>
          </w:p>
          <w:p w:rsidR="00F46561" w:rsidRDefault="00F46561">
            <w:pPr>
              <w:jc w:val="center"/>
              <w:rPr>
                <w:bCs/>
                <w:sz w:val="18"/>
                <w:szCs w:val="18"/>
              </w:rPr>
            </w:pPr>
          </w:p>
          <w:p w:rsidR="00F46561" w:rsidRDefault="00F46561">
            <w:pPr>
              <w:jc w:val="center"/>
              <w:rPr>
                <w:bCs/>
                <w:sz w:val="18"/>
                <w:szCs w:val="18"/>
              </w:rPr>
            </w:pPr>
            <w:r>
              <w:rPr>
                <w:bCs/>
                <w:sz w:val="18"/>
                <w:szCs w:val="18"/>
              </w:rPr>
              <w:t xml:space="preserve">M: 33 </w:t>
            </w:r>
          </w:p>
          <w:p w:rsidR="00F46561" w:rsidRDefault="00F46561">
            <w:pPr>
              <w:jc w:val="center"/>
              <w:rPr>
                <w:bCs/>
                <w:sz w:val="18"/>
                <w:szCs w:val="18"/>
              </w:rPr>
            </w:pPr>
            <w:r>
              <w:rPr>
                <w:bCs/>
                <w:sz w:val="18"/>
                <w:szCs w:val="18"/>
              </w:rPr>
              <w:t>(1/3)*100</w:t>
            </w:r>
          </w:p>
          <w:p w:rsidR="00F46561" w:rsidRPr="009928AD" w:rsidRDefault="00F46561">
            <w:pPr>
              <w:jc w:val="center"/>
              <w:rPr>
                <w:bCs/>
                <w:sz w:val="18"/>
                <w:szCs w:val="18"/>
              </w:rPr>
            </w:pPr>
          </w:p>
        </w:tc>
        <w:tc>
          <w:tcPr>
            <w:tcW w:w="840" w:type="dxa"/>
          </w:tcPr>
          <w:p w:rsidR="00F46561" w:rsidRPr="009928AD" w:rsidRDefault="00437FAD">
            <w:pPr>
              <w:jc w:val="center"/>
              <w:rPr>
                <w:bCs/>
                <w:sz w:val="18"/>
                <w:szCs w:val="18"/>
              </w:rPr>
            </w:pPr>
            <w:r w:rsidRPr="00904EDA">
              <w:rPr>
                <w:sz w:val="18"/>
                <w:szCs w:val="18"/>
              </w:rPr>
              <w:t>4</w:t>
            </w:r>
          </w:p>
        </w:tc>
      </w:tr>
      <w:tr w:rsidR="00AB13B9" w:rsidTr="00F46561">
        <w:tc>
          <w:tcPr>
            <w:tcW w:w="2028" w:type="dxa"/>
          </w:tcPr>
          <w:p w:rsidR="00F65F99" w:rsidRDefault="009857EC">
            <w:pPr>
              <w:rPr>
                <w:sz w:val="18"/>
                <w:szCs w:val="18"/>
              </w:rPr>
            </w:pPr>
            <w:r>
              <w:t xml:space="preserve"> </w:t>
            </w:r>
            <w:r w:rsidR="00F65F99">
              <w:rPr>
                <w:sz w:val="18"/>
                <w:szCs w:val="18"/>
              </w:rPr>
              <w:sym w:font="Symbol" w:char="F0B7"/>
            </w:r>
            <w:r w:rsidR="00F65F99">
              <w:rPr>
                <w:sz w:val="18"/>
                <w:szCs w:val="18"/>
              </w:rPr>
              <w:t xml:space="preserve">Servicios de Edificación Pública Patrimonial. </w:t>
            </w:r>
          </w:p>
          <w:p w:rsidR="00F65F99" w:rsidRDefault="009857EC">
            <w:pPr>
              <w:rPr>
                <w:i/>
                <w:sz w:val="14"/>
              </w:rPr>
            </w:pPr>
            <w:r>
              <w:t xml:space="preserve"> </w:t>
            </w:r>
            <w:r w:rsidR="00F65F99">
              <w:rPr>
                <w:i/>
                <w:sz w:val="14"/>
                <w:szCs w:val="14"/>
              </w:rPr>
              <w:sym w:font="Times New Roman" w:char="00B7"/>
            </w:r>
          </w:p>
          <w:p w:rsidR="00F65F99" w:rsidRDefault="00F65F99">
            <w:pPr>
              <w:jc w:val="both"/>
              <w:rPr>
                <w:i/>
                <w:sz w:val="14"/>
              </w:rPr>
            </w:pPr>
          </w:p>
          <w:p w:rsidR="00F65F99" w:rsidRDefault="00F65F99">
            <w:pPr>
              <w:jc w:val="both"/>
              <w:rPr>
                <w:i/>
                <w:sz w:val="14"/>
              </w:rPr>
            </w:pPr>
          </w:p>
          <w:p w:rsidR="00F65F99" w:rsidRDefault="00F65F99">
            <w:pPr>
              <w:jc w:val="both"/>
              <w:rPr>
                <w:i/>
                <w:sz w:val="14"/>
              </w:rPr>
            </w:pPr>
          </w:p>
          <w:p w:rsidR="00F65F99" w:rsidRDefault="00F65F99">
            <w:pPr>
              <w:jc w:val="both"/>
              <w:rPr>
                <w:i/>
                <w:sz w:val="14"/>
              </w:rPr>
            </w:pPr>
          </w:p>
        </w:tc>
        <w:tc>
          <w:tcPr>
            <w:tcW w:w="2880" w:type="dxa"/>
          </w:tcPr>
          <w:p w:rsidR="00F46561" w:rsidRDefault="00F46561">
            <w:pPr>
              <w:jc w:val="both"/>
              <w:rPr>
                <w:i/>
                <w:iCs/>
                <w:sz w:val="18"/>
                <w:szCs w:val="18"/>
                <w:u w:val="single"/>
              </w:rPr>
            </w:pPr>
            <w:r>
              <w:rPr>
                <w:i/>
                <w:iCs/>
                <w:sz w:val="18"/>
                <w:szCs w:val="18"/>
                <w:u w:val="single"/>
              </w:rPr>
              <w:t>Eficacia/Producto</w:t>
            </w:r>
          </w:p>
          <w:p w:rsidR="00F46561" w:rsidRDefault="00F46561">
            <w:pPr>
              <w:jc w:val="both"/>
              <w:rPr>
                <w:sz w:val="18"/>
                <w:szCs w:val="18"/>
              </w:rPr>
            </w:pPr>
          </w:p>
          <w:p w:rsidR="00F46561" w:rsidRDefault="00F46561">
            <w:pPr>
              <w:jc w:val="both"/>
              <w:rPr>
                <w:sz w:val="18"/>
                <w:szCs w:val="18"/>
              </w:rPr>
            </w:pPr>
          </w:p>
          <w:p w:rsidR="00F46561" w:rsidRDefault="00F46561">
            <w:pPr>
              <w:rPr>
                <w:sz w:val="18"/>
                <w:szCs w:val="18"/>
              </w:rPr>
            </w:pPr>
            <w:r>
              <w:rPr>
                <w:sz w:val="18"/>
                <w:szCs w:val="18"/>
              </w:rPr>
              <w:t>5 Porcentaje de Proyectos de Patrimonio Terminados el año t, respecto del total de Proyectos de Patrimonio iniciados en los periodos t y t-1.   </w:t>
            </w:r>
          </w:p>
          <w:p w:rsidR="00F46561" w:rsidRDefault="00F46561">
            <w:pPr>
              <w:rPr>
                <w:sz w:val="12"/>
                <w:szCs w:val="12"/>
              </w:rPr>
            </w:pPr>
          </w:p>
          <w:p w:rsidR="00F46561" w:rsidRDefault="00F46561">
            <w:pPr>
              <w:rPr>
                <w:sz w:val="12"/>
                <w:szCs w:val="12"/>
              </w:rPr>
            </w:pPr>
          </w:p>
          <w:p w:rsidR="00F46561" w:rsidRDefault="00F46561">
            <w:pPr>
              <w:rPr>
                <w:sz w:val="12"/>
                <w:szCs w:val="12"/>
              </w:rPr>
            </w:pPr>
            <w:r>
              <w:rPr>
                <w:sz w:val="12"/>
                <w:szCs w:val="12"/>
              </w:rPr>
              <w:t>Aplica Desagregación por Sexo: NO</w:t>
            </w:r>
          </w:p>
          <w:p w:rsidR="00F46561" w:rsidRDefault="00F46561">
            <w:pPr>
              <w:rPr>
                <w:sz w:val="12"/>
                <w:szCs w:val="12"/>
              </w:rPr>
            </w:pPr>
            <w:r>
              <w:rPr>
                <w:sz w:val="12"/>
                <w:szCs w:val="12"/>
              </w:rPr>
              <w:t xml:space="preserve">    Aplica Gestión Territorial: NO</w:t>
            </w:r>
          </w:p>
          <w:p w:rsidR="00F46561" w:rsidRDefault="00F46561">
            <w:pPr>
              <w:rPr>
                <w:sz w:val="12"/>
                <w:szCs w:val="12"/>
              </w:rPr>
            </w:pPr>
          </w:p>
          <w:p w:rsidR="00F46561" w:rsidRDefault="00F46561">
            <w:pPr>
              <w:rPr>
                <w:sz w:val="12"/>
                <w:szCs w:val="12"/>
              </w:rPr>
            </w:pPr>
          </w:p>
        </w:tc>
        <w:tc>
          <w:tcPr>
            <w:tcW w:w="1680" w:type="dxa"/>
          </w:tcPr>
          <w:p w:rsidR="00F46561" w:rsidRPr="009928AD" w:rsidRDefault="00F46561">
            <w:pPr>
              <w:jc w:val="center"/>
              <w:rPr>
                <w:bCs/>
                <w:sz w:val="18"/>
                <w:szCs w:val="18"/>
              </w:rPr>
            </w:pPr>
            <w:r>
              <w:rPr>
                <w:bCs/>
                <w:sz w:val="18"/>
                <w:szCs w:val="18"/>
              </w:rPr>
              <w:t>(Nº de Proyectos de Patrimonio terminados el año t/Nº total de Proyectos de Patrimonio iniciados en los periodos t y t-1)*100</w:t>
            </w:r>
          </w:p>
        </w:tc>
        <w:tc>
          <w:tcPr>
            <w:tcW w:w="960" w:type="dxa"/>
          </w:tcPr>
          <w:p w:rsidR="00F46561" w:rsidRDefault="00F46561">
            <w:pPr>
              <w:jc w:val="center"/>
              <w:rPr>
                <w:bCs/>
                <w:sz w:val="18"/>
                <w:szCs w:val="18"/>
              </w:rPr>
            </w:pPr>
            <w:r>
              <w:rPr>
                <w:bCs/>
                <w:sz w:val="18"/>
                <w:szCs w:val="18"/>
              </w:rPr>
              <w:t>100 %</w:t>
            </w:r>
          </w:p>
          <w:p w:rsidR="00F46561" w:rsidRDefault="00F46561">
            <w:pPr>
              <w:jc w:val="center"/>
              <w:rPr>
                <w:bCs/>
                <w:sz w:val="18"/>
                <w:szCs w:val="18"/>
              </w:rPr>
            </w:pPr>
            <w:r>
              <w:rPr>
                <w:bCs/>
                <w:sz w:val="18"/>
                <w:szCs w:val="18"/>
              </w:rPr>
              <w:t>(2/2)*100</w:t>
            </w:r>
          </w:p>
          <w:p w:rsidR="00F46561" w:rsidRDefault="00F46561">
            <w:pPr>
              <w:jc w:val="center"/>
              <w:rPr>
                <w:bCs/>
                <w:sz w:val="18"/>
                <w:szCs w:val="18"/>
              </w:rPr>
            </w:pPr>
          </w:p>
          <w:p w:rsidR="00F46561" w:rsidRDefault="00F46561">
            <w:pPr>
              <w:jc w:val="center"/>
              <w:rPr>
                <w:bCs/>
                <w:sz w:val="18"/>
                <w:szCs w:val="18"/>
              </w:rPr>
            </w:pPr>
          </w:p>
          <w:p w:rsidR="00F46561" w:rsidRDefault="00F46561">
            <w:pPr>
              <w:jc w:val="center"/>
              <w:rPr>
                <w:bCs/>
                <w:sz w:val="18"/>
                <w:szCs w:val="18"/>
              </w:rPr>
            </w:pPr>
          </w:p>
          <w:p w:rsidR="00F46561" w:rsidRDefault="00F46561">
            <w:pPr>
              <w:jc w:val="center"/>
              <w:rPr>
                <w:bCs/>
                <w:sz w:val="18"/>
                <w:szCs w:val="18"/>
              </w:rPr>
            </w:pPr>
          </w:p>
          <w:p w:rsidR="00F46561" w:rsidRPr="009928AD" w:rsidRDefault="00F46561">
            <w:pPr>
              <w:jc w:val="center"/>
              <w:rPr>
                <w:bCs/>
                <w:sz w:val="18"/>
                <w:szCs w:val="18"/>
              </w:rPr>
            </w:pPr>
          </w:p>
        </w:tc>
        <w:tc>
          <w:tcPr>
            <w:tcW w:w="960" w:type="dxa"/>
          </w:tcPr>
          <w:p w:rsidR="00F46561" w:rsidRDefault="00F46561">
            <w:pPr>
              <w:jc w:val="center"/>
              <w:rPr>
                <w:bCs/>
                <w:sz w:val="18"/>
                <w:szCs w:val="18"/>
              </w:rPr>
            </w:pPr>
            <w:r>
              <w:rPr>
                <w:bCs/>
                <w:sz w:val="18"/>
                <w:szCs w:val="18"/>
              </w:rPr>
              <w:t>50 %</w:t>
            </w:r>
          </w:p>
          <w:p w:rsidR="00F46561" w:rsidRDefault="00F46561">
            <w:pPr>
              <w:jc w:val="center"/>
              <w:rPr>
                <w:bCs/>
                <w:sz w:val="18"/>
                <w:szCs w:val="18"/>
              </w:rPr>
            </w:pPr>
            <w:r>
              <w:rPr>
                <w:bCs/>
                <w:sz w:val="18"/>
                <w:szCs w:val="18"/>
              </w:rPr>
              <w:t>(1/2)*100</w:t>
            </w:r>
          </w:p>
          <w:p w:rsidR="00F46561" w:rsidRDefault="00F46561">
            <w:pPr>
              <w:jc w:val="center"/>
              <w:rPr>
                <w:bCs/>
                <w:sz w:val="18"/>
                <w:szCs w:val="18"/>
              </w:rPr>
            </w:pPr>
          </w:p>
          <w:p w:rsidR="00F46561" w:rsidRDefault="00F46561">
            <w:pPr>
              <w:jc w:val="center"/>
              <w:rPr>
                <w:bCs/>
                <w:sz w:val="18"/>
                <w:szCs w:val="18"/>
              </w:rPr>
            </w:pPr>
          </w:p>
          <w:p w:rsidR="00F46561" w:rsidRDefault="00F46561">
            <w:pPr>
              <w:jc w:val="center"/>
              <w:rPr>
                <w:bCs/>
                <w:sz w:val="18"/>
                <w:szCs w:val="18"/>
              </w:rPr>
            </w:pPr>
          </w:p>
          <w:p w:rsidR="00F46561" w:rsidRDefault="00F46561">
            <w:pPr>
              <w:jc w:val="center"/>
              <w:rPr>
                <w:bCs/>
                <w:sz w:val="18"/>
                <w:szCs w:val="18"/>
              </w:rPr>
            </w:pPr>
          </w:p>
          <w:p w:rsidR="00F46561" w:rsidRPr="009928AD" w:rsidRDefault="00F46561">
            <w:pPr>
              <w:jc w:val="center"/>
              <w:rPr>
                <w:bCs/>
                <w:sz w:val="18"/>
                <w:szCs w:val="18"/>
              </w:rPr>
            </w:pPr>
          </w:p>
        </w:tc>
        <w:tc>
          <w:tcPr>
            <w:tcW w:w="960" w:type="dxa"/>
          </w:tcPr>
          <w:p w:rsidR="00F46561" w:rsidRDefault="00F46561">
            <w:pPr>
              <w:jc w:val="center"/>
              <w:rPr>
                <w:bCs/>
                <w:sz w:val="18"/>
                <w:szCs w:val="18"/>
              </w:rPr>
            </w:pPr>
            <w:r>
              <w:rPr>
                <w:bCs/>
                <w:sz w:val="18"/>
                <w:szCs w:val="18"/>
              </w:rPr>
              <w:t>0 %</w:t>
            </w:r>
          </w:p>
          <w:p w:rsidR="00F46561" w:rsidRDefault="00F46561">
            <w:pPr>
              <w:jc w:val="center"/>
              <w:rPr>
                <w:bCs/>
                <w:sz w:val="18"/>
                <w:szCs w:val="18"/>
              </w:rPr>
            </w:pPr>
            <w:r>
              <w:rPr>
                <w:bCs/>
                <w:sz w:val="18"/>
                <w:szCs w:val="18"/>
              </w:rPr>
              <w:t>(0/2)*100</w:t>
            </w:r>
          </w:p>
          <w:p w:rsidR="00F46561" w:rsidRDefault="00F46561">
            <w:pPr>
              <w:jc w:val="center"/>
              <w:rPr>
                <w:bCs/>
                <w:sz w:val="18"/>
                <w:szCs w:val="18"/>
              </w:rPr>
            </w:pPr>
          </w:p>
          <w:p w:rsidR="00F46561" w:rsidRDefault="00F46561">
            <w:pPr>
              <w:jc w:val="center"/>
              <w:rPr>
                <w:bCs/>
                <w:sz w:val="18"/>
                <w:szCs w:val="18"/>
              </w:rPr>
            </w:pPr>
          </w:p>
          <w:p w:rsidR="00F46561" w:rsidRDefault="00F46561">
            <w:pPr>
              <w:jc w:val="center"/>
              <w:rPr>
                <w:bCs/>
                <w:sz w:val="18"/>
                <w:szCs w:val="18"/>
              </w:rPr>
            </w:pPr>
          </w:p>
          <w:p w:rsidR="00F46561" w:rsidRDefault="00F46561">
            <w:pPr>
              <w:jc w:val="center"/>
              <w:rPr>
                <w:bCs/>
                <w:sz w:val="18"/>
                <w:szCs w:val="18"/>
              </w:rPr>
            </w:pPr>
            <w:r>
              <w:rPr>
                <w:bCs/>
                <w:sz w:val="18"/>
                <w:szCs w:val="18"/>
              </w:rPr>
              <w:t xml:space="preserve"> </w:t>
            </w:r>
          </w:p>
          <w:p w:rsidR="00F46561" w:rsidRPr="009928AD" w:rsidRDefault="00F46561">
            <w:pPr>
              <w:jc w:val="center"/>
              <w:rPr>
                <w:bCs/>
                <w:sz w:val="18"/>
                <w:szCs w:val="18"/>
              </w:rPr>
            </w:pPr>
          </w:p>
        </w:tc>
        <w:tc>
          <w:tcPr>
            <w:tcW w:w="960" w:type="dxa"/>
          </w:tcPr>
          <w:p w:rsidR="00F46561" w:rsidRDefault="00F46561">
            <w:pPr>
              <w:jc w:val="center"/>
              <w:rPr>
                <w:bCs/>
                <w:sz w:val="18"/>
                <w:szCs w:val="18"/>
              </w:rPr>
            </w:pPr>
            <w:r>
              <w:rPr>
                <w:bCs/>
                <w:sz w:val="18"/>
                <w:szCs w:val="18"/>
              </w:rPr>
              <w:t>0 %</w:t>
            </w:r>
          </w:p>
          <w:p w:rsidR="00F46561" w:rsidRDefault="00F46561">
            <w:pPr>
              <w:jc w:val="center"/>
              <w:rPr>
                <w:bCs/>
                <w:sz w:val="18"/>
                <w:szCs w:val="18"/>
              </w:rPr>
            </w:pPr>
          </w:p>
          <w:p w:rsidR="00F46561" w:rsidRDefault="00F46561">
            <w:pPr>
              <w:jc w:val="center"/>
              <w:rPr>
                <w:bCs/>
                <w:sz w:val="18"/>
                <w:szCs w:val="18"/>
              </w:rPr>
            </w:pPr>
          </w:p>
          <w:p w:rsidR="00F46561" w:rsidRDefault="00F46561">
            <w:pPr>
              <w:jc w:val="center"/>
              <w:rPr>
                <w:bCs/>
                <w:sz w:val="18"/>
                <w:szCs w:val="18"/>
              </w:rPr>
            </w:pPr>
          </w:p>
          <w:p w:rsidR="00F46561" w:rsidRDefault="00F46561">
            <w:pPr>
              <w:jc w:val="center"/>
              <w:rPr>
                <w:bCs/>
                <w:sz w:val="18"/>
                <w:szCs w:val="18"/>
              </w:rPr>
            </w:pPr>
          </w:p>
          <w:p w:rsidR="00F46561" w:rsidRPr="009928AD" w:rsidRDefault="00F46561">
            <w:pPr>
              <w:jc w:val="center"/>
              <w:rPr>
                <w:bCs/>
                <w:sz w:val="18"/>
                <w:szCs w:val="18"/>
              </w:rPr>
            </w:pPr>
          </w:p>
        </w:tc>
        <w:tc>
          <w:tcPr>
            <w:tcW w:w="960" w:type="dxa"/>
          </w:tcPr>
          <w:p w:rsidR="00F46561" w:rsidRDefault="00F46561">
            <w:pPr>
              <w:jc w:val="center"/>
              <w:rPr>
                <w:bCs/>
                <w:sz w:val="18"/>
                <w:szCs w:val="18"/>
              </w:rPr>
            </w:pPr>
            <w:r>
              <w:rPr>
                <w:bCs/>
                <w:sz w:val="18"/>
                <w:szCs w:val="18"/>
              </w:rPr>
              <w:t>100  %</w:t>
            </w:r>
          </w:p>
          <w:p w:rsidR="00F46561" w:rsidRDefault="00F46561">
            <w:pPr>
              <w:jc w:val="center"/>
              <w:rPr>
                <w:bCs/>
                <w:sz w:val="18"/>
                <w:szCs w:val="18"/>
              </w:rPr>
            </w:pPr>
            <w:r>
              <w:rPr>
                <w:bCs/>
                <w:sz w:val="18"/>
                <w:szCs w:val="18"/>
              </w:rPr>
              <w:t xml:space="preserve">(2/2)*100 </w:t>
            </w:r>
          </w:p>
          <w:p w:rsidR="00F46561" w:rsidRDefault="00F46561">
            <w:pPr>
              <w:jc w:val="center"/>
              <w:rPr>
                <w:bCs/>
                <w:sz w:val="18"/>
                <w:szCs w:val="18"/>
              </w:rPr>
            </w:pPr>
          </w:p>
          <w:p w:rsidR="00F46561" w:rsidRDefault="00F46561">
            <w:pPr>
              <w:jc w:val="center"/>
              <w:rPr>
                <w:bCs/>
                <w:sz w:val="18"/>
                <w:szCs w:val="18"/>
              </w:rPr>
            </w:pPr>
          </w:p>
          <w:p w:rsidR="00F46561" w:rsidRDefault="00F46561">
            <w:pPr>
              <w:jc w:val="center"/>
              <w:rPr>
                <w:bCs/>
                <w:sz w:val="18"/>
                <w:szCs w:val="18"/>
              </w:rPr>
            </w:pPr>
          </w:p>
          <w:p w:rsidR="00F46561" w:rsidRDefault="00F46561">
            <w:pPr>
              <w:jc w:val="center"/>
              <w:rPr>
                <w:bCs/>
                <w:sz w:val="18"/>
                <w:szCs w:val="18"/>
              </w:rPr>
            </w:pPr>
          </w:p>
          <w:p w:rsidR="00F46561" w:rsidRPr="009928AD" w:rsidRDefault="00F46561">
            <w:pPr>
              <w:jc w:val="center"/>
              <w:rPr>
                <w:bCs/>
                <w:sz w:val="18"/>
                <w:szCs w:val="18"/>
              </w:rPr>
            </w:pPr>
          </w:p>
        </w:tc>
        <w:tc>
          <w:tcPr>
            <w:tcW w:w="840" w:type="dxa"/>
          </w:tcPr>
          <w:p w:rsidR="00F46561" w:rsidRPr="009928AD" w:rsidRDefault="00437FAD">
            <w:pPr>
              <w:jc w:val="center"/>
              <w:rPr>
                <w:bCs/>
                <w:sz w:val="18"/>
                <w:szCs w:val="18"/>
              </w:rPr>
            </w:pPr>
            <w:r w:rsidRPr="00904EDA">
              <w:rPr>
                <w:sz w:val="18"/>
                <w:szCs w:val="18"/>
              </w:rPr>
              <w:t>5</w:t>
            </w:r>
          </w:p>
        </w:tc>
      </w:tr>
    </w:tbl>
    <w:p w:rsidR="009857EC" w:rsidRDefault="009857EC">
      <w:pPr>
        <w:jc w:val="both"/>
        <w:rPr>
          <w:sz w:val="18"/>
        </w:rPr>
      </w:pPr>
      <w:r>
        <w:t xml:space="preserve"> </w:t>
      </w:r>
    </w:p>
    <w:p w:rsidR="009857EC" w:rsidRDefault="009857EC">
      <w:pPr>
        <w:jc w:val="both"/>
        <w:rPr>
          <w:sz w:val="18"/>
        </w:rPr>
      </w:pPr>
      <w:r>
        <w:rPr>
          <w:sz w:val="18"/>
        </w:rPr>
        <w:t xml:space="preserve">Notas: </w:t>
      </w:r>
    </w:p>
    <w:p w:rsidR="009857EC" w:rsidRDefault="009857EC">
      <w:pPr>
        <w:ind w:left="360"/>
        <w:jc w:val="both"/>
        <w:rPr>
          <w:sz w:val="18"/>
        </w:rPr>
      </w:pPr>
      <w:r>
        <w:rPr>
          <w:sz w:val="18"/>
        </w:rPr>
        <w:t xml:space="preserve">1  1.-El objetivo de este indicador es revisar, por parte del nivel central, las etapas de anteproyecto y proyecto de diseño que son enviados por las regiones, previo envío al Consejo de Monumentos Nacionales (CMN) y que aplica a los proyectos en edificios protegidos legalmente por la ley de Monumentos Nacionales.         </w:t>
      </w:r>
    </w:p>
    <w:p w:rsidR="009857EC" w:rsidRDefault="009857EC">
      <w:pPr>
        <w:ind w:left="360"/>
        <w:jc w:val="both"/>
        <w:rPr>
          <w:sz w:val="18"/>
        </w:rPr>
      </w:pPr>
      <w:r>
        <w:rPr>
          <w:sz w:val="18"/>
        </w:rPr>
        <w:t xml:space="preserve">                </w:t>
      </w:r>
    </w:p>
    <w:p w:rsidR="009857EC" w:rsidRDefault="009857EC">
      <w:pPr>
        <w:ind w:left="360"/>
        <w:jc w:val="both"/>
        <w:rPr>
          <w:sz w:val="18"/>
        </w:rPr>
      </w:pPr>
      <w:r>
        <w:rPr>
          <w:sz w:val="18"/>
        </w:rPr>
        <w:t xml:space="preserve">        2.-Para efectos de la medición, se consideran en el indicador las solicitudes de las Direcciones Regionales al Departamento de Patrimonio del Nivel Central para la revisión de etapas de anteproyecto y proyecto de consultorías de diseño durante el año t, previo envío al CMN.         </w:t>
      </w:r>
    </w:p>
    <w:p w:rsidR="009857EC" w:rsidRDefault="009857EC">
      <w:pPr>
        <w:ind w:left="360"/>
        <w:jc w:val="both"/>
        <w:rPr>
          <w:sz w:val="18"/>
        </w:rPr>
      </w:pPr>
      <w:r>
        <w:rPr>
          <w:sz w:val="18"/>
        </w:rPr>
        <w:t xml:space="preserve">                </w:t>
      </w:r>
    </w:p>
    <w:p w:rsidR="009857EC" w:rsidRDefault="009857EC">
      <w:pPr>
        <w:ind w:left="360"/>
        <w:jc w:val="both"/>
        <w:rPr>
          <w:sz w:val="18"/>
        </w:rPr>
      </w:pPr>
      <w:r>
        <w:rPr>
          <w:sz w:val="18"/>
        </w:rPr>
        <w:t xml:space="preserve">        3.-El plazo para el envío del oficio o correo electrónico desde el DEPA al Jefe de División a las regiones con la revisión será igual o menor a 15 días corridos.        </w:t>
      </w:r>
    </w:p>
    <w:p w:rsidR="009857EC" w:rsidRDefault="009857EC">
      <w:pPr>
        <w:ind w:left="360"/>
        <w:jc w:val="both"/>
        <w:rPr>
          <w:sz w:val="18"/>
        </w:rPr>
      </w:pPr>
      <w:r>
        <w:rPr>
          <w:sz w:val="18"/>
        </w:rPr>
        <w:t xml:space="preserve">                </w:t>
      </w:r>
    </w:p>
    <w:p w:rsidR="009857EC" w:rsidRDefault="009857EC">
      <w:pPr>
        <w:ind w:left="360"/>
        <w:jc w:val="both"/>
        <w:rPr>
          <w:sz w:val="18"/>
        </w:rPr>
      </w:pPr>
      <w:r>
        <w:rPr>
          <w:sz w:val="18"/>
        </w:rPr>
        <w:t xml:space="preserve">        4.- El proceso finaliza cuando el Director Nacional o el Departamento de Patrimonio responde por oficio o por correo las solicitud del Nivel Regional, adjuntando las observaciones. En caso de que un proceso finalice con observaciones a los proyectos, las solicitudes corregidas y reingresadas contabilizarán como una nueva solicitud, aplicando el plazo definido en la nota 3.           </w:t>
      </w:r>
    </w:p>
    <w:p w:rsidR="009857EC" w:rsidRDefault="009857EC">
      <w:pPr>
        <w:ind w:left="360"/>
        <w:jc w:val="both"/>
        <w:rPr>
          <w:sz w:val="18"/>
        </w:rPr>
      </w:pPr>
      <w:r>
        <w:rPr>
          <w:sz w:val="18"/>
        </w:rPr>
        <w:t xml:space="preserve">        </w:t>
      </w:r>
    </w:p>
    <w:p w:rsidR="009857EC" w:rsidRDefault="009857EC">
      <w:pPr>
        <w:ind w:left="360"/>
        <w:jc w:val="both"/>
        <w:rPr>
          <w:sz w:val="18"/>
        </w:rPr>
      </w:pPr>
    </w:p>
    <w:p w:rsidR="009857EC" w:rsidRDefault="009857EC">
      <w:pPr>
        <w:ind w:left="360"/>
        <w:jc w:val="both"/>
        <w:rPr>
          <w:sz w:val="18"/>
        </w:rPr>
      </w:pPr>
      <w:r>
        <w:rPr>
          <w:sz w:val="18"/>
        </w:rPr>
        <w:t xml:space="preserve">2  Este indicador tiene como objetivo medir el porcentaje de las obras nuevas  (construcción y reposición) que se terminarán el año T dentro del plazo contractual y sus modificaciones ajustadas a Reglamento para Contratos de Obras Públicas (RCOP DS MOP N°75 de 2004) o sus modificaciones vigentes, respecto del total de Obras nuevas que se terminen en el año. Corresponden a contratos de obras superiores a 3000 UTM +IVA.                 </w:t>
      </w:r>
    </w:p>
    <w:p w:rsidR="009857EC" w:rsidRDefault="009857EC">
      <w:pPr>
        <w:ind w:left="360"/>
        <w:jc w:val="both"/>
        <w:rPr>
          <w:sz w:val="18"/>
        </w:rPr>
      </w:pPr>
      <w:r>
        <w:rPr>
          <w:sz w:val="18"/>
        </w:rPr>
        <w:t xml:space="preserve">                El Alcance de este indicador considera obras iniciadas en años anteriores al año t, el foco de la medición es el término en plazo de las obras.        </w:t>
      </w:r>
    </w:p>
    <w:p w:rsidR="009857EC" w:rsidRDefault="009857EC">
      <w:pPr>
        <w:ind w:left="360"/>
        <w:jc w:val="both"/>
        <w:rPr>
          <w:sz w:val="18"/>
        </w:rPr>
      </w:pPr>
      <w:r>
        <w:rPr>
          <w:sz w:val="18"/>
        </w:rPr>
        <w:t xml:space="preserve">        </w:t>
      </w:r>
    </w:p>
    <w:p w:rsidR="009857EC" w:rsidRDefault="009857EC">
      <w:pPr>
        <w:ind w:left="360"/>
        <w:jc w:val="both"/>
        <w:rPr>
          <w:sz w:val="18"/>
        </w:rPr>
      </w:pPr>
    </w:p>
    <w:p w:rsidR="009857EC" w:rsidRDefault="009857EC">
      <w:pPr>
        <w:ind w:left="360"/>
        <w:jc w:val="both"/>
        <w:rPr>
          <w:sz w:val="18"/>
        </w:rPr>
      </w:pPr>
      <w:r>
        <w:rPr>
          <w:sz w:val="18"/>
        </w:rPr>
        <w:t xml:space="preserve">3   El indicador, tiene como objeto conocer la percepción de los mandantes, por medio de una encuesta de satisfacción del servicio recibido, así como las necesidades y expectativas de mandantes de la Dirección de Arquitectura  MOP en donde la DA actuó como unidad técnica en la ejecución de obras.                 </w:t>
      </w:r>
    </w:p>
    <w:p w:rsidR="009857EC" w:rsidRDefault="009857EC">
      <w:pPr>
        <w:ind w:left="360"/>
        <w:jc w:val="both"/>
        <w:rPr>
          <w:sz w:val="18"/>
        </w:rPr>
      </w:pPr>
      <w:r>
        <w:rPr>
          <w:sz w:val="18"/>
        </w:rPr>
        <w:t xml:space="preserve">                                </w:t>
      </w:r>
    </w:p>
    <w:p w:rsidR="009857EC" w:rsidRDefault="009857EC">
      <w:pPr>
        <w:ind w:left="360"/>
        <w:jc w:val="both"/>
        <w:rPr>
          <w:sz w:val="18"/>
        </w:rPr>
      </w:pPr>
      <w:r>
        <w:rPr>
          <w:sz w:val="18"/>
        </w:rPr>
        <w:t xml:space="preserve">                A.</w:t>
      </w:r>
      <w:r>
        <w:rPr>
          <w:sz w:val="18"/>
        </w:rPr>
        <w:tab/>
        <w:t xml:space="preserve">Recopilación de la información:  Se consolidaran las encuestas recibidas por la División de Planificación, enviadas  por las Direcciones  Regionales de Arquitectura considerando las obras terminadas en el año t, (como fecha máxima de termino será el 31 octubre de cada año).                </w:t>
      </w:r>
    </w:p>
    <w:p w:rsidR="009857EC" w:rsidRDefault="009857EC">
      <w:pPr>
        <w:ind w:left="360"/>
        <w:jc w:val="both"/>
        <w:rPr>
          <w:sz w:val="18"/>
        </w:rPr>
      </w:pPr>
      <w:r>
        <w:rPr>
          <w:sz w:val="18"/>
        </w:rPr>
        <w:t xml:space="preserve">                B.</w:t>
      </w:r>
      <w:r>
        <w:rPr>
          <w:sz w:val="18"/>
        </w:rPr>
        <w:tab/>
        <w:t xml:space="preserve">Metodología de cálculo: Se efectúa por medio de  dos procesos.                  </w:t>
      </w:r>
    </w:p>
    <w:p w:rsidR="009857EC" w:rsidRDefault="009857EC">
      <w:pPr>
        <w:ind w:left="360"/>
        <w:jc w:val="both"/>
        <w:rPr>
          <w:sz w:val="18"/>
        </w:rPr>
      </w:pPr>
      <w:r>
        <w:rPr>
          <w:sz w:val="18"/>
        </w:rPr>
        <w:t xml:space="preserve">                b.1: Análisis Univariado: Promedio aritmético simple de cada variable incluida en la encuesta.                 </w:t>
      </w:r>
    </w:p>
    <w:p w:rsidR="009857EC" w:rsidRDefault="009857EC">
      <w:pPr>
        <w:ind w:left="360"/>
        <w:jc w:val="both"/>
        <w:rPr>
          <w:sz w:val="18"/>
        </w:rPr>
      </w:pPr>
      <w:r>
        <w:rPr>
          <w:sz w:val="18"/>
        </w:rPr>
        <w:t xml:space="preserve">                b.2: Índices de Satisfacción: que considera el análisis por dimensiones (gestión, plazos,   comunicación, calidad, expectativas, etc).                </w:t>
      </w:r>
    </w:p>
    <w:p w:rsidR="009857EC" w:rsidRDefault="009857EC">
      <w:pPr>
        <w:ind w:left="360"/>
        <w:jc w:val="both"/>
        <w:rPr>
          <w:sz w:val="18"/>
        </w:rPr>
      </w:pPr>
      <w:r>
        <w:rPr>
          <w:sz w:val="18"/>
        </w:rPr>
        <w:t xml:space="preserve">                C.</w:t>
      </w:r>
      <w:r>
        <w:rPr>
          <w:sz w:val="18"/>
        </w:rPr>
        <w:tab/>
        <w:t xml:space="preserve">Exclusiones: Se excluirán de la muestra las encuestas no recibidas dentro del año calendario y se eliminaran los casos sin respuestas         o encuestas incompletas.                </w:t>
      </w:r>
    </w:p>
    <w:p w:rsidR="009857EC" w:rsidRDefault="009857EC">
      <w:pPr>
        <w:ind w:left="360"/>
        <w:jc w:val="both"/>
        <w:rPr>
          <w:sz w:val="18"/>
        </w:rPr>
      </w:pPr>
      <w:r>
        <w:rPr>
          <w:sz w:val="18"/>
        </w:rPr>
        <w:t xml:space="preserve">                D.</w:t>
      </w:r>
      <w:r>
        <w:rPr>
          <w:sz w:val="18"/>
        </w:rPr>
        <w:tab/>
        <w:t xml:space="preserve">Fuentes de los datos: Se considera la información entregada por el instrumento (encuesta), contextualizados en las siguientes dimensiones (gestión, plazos, comunicación, calidad, expectativas, etc)                </w:t>
      </w:r>
    </w:p>
    <w:p w:rsidR="009857EC" w:rsidRDefault="009857EC">
      <w:pPr>
        <w:ind w:left="360"/>
        <w:jc w:val="both"/>
        <w:rPr>
          <w:sz w:val="18"/>
        </w:rPr>
      </w:pPr>
      <w:r>
        <w:rPr>
          <w:sz w:val="18"/>
        </w:rPr>
        <w:t xml:space="preserve">                E.</w:t>
      </w:r>
      <w:r>
        <w:rPr>
          <w:sz w:val="18"/>
        </w:rPr>
        <w:tab/>
        <w:t xml:space="preserve">Las encuestas deben ser completadas por la contraparte técnica (por parte del mandante) de la Dirección de Arquitectura.                </w:t>
      </w:r>
    </w:p>
    <w:p w:rsidR="009857EC" w:rsidRDefault="009857EC">
      <w:pPr>
        <w:ind w:left="360"/>
        <w:jc w:val="both"/>
        <w:rPr>
          <w:sz w:val="18"/>
        </w:rPr>
      </w:pPr>
      <w:r>
        <w:rPr>
          <w:sz w:val="18"/>
        </w:rPr>
        <w:t xml:space="preserve">                F.</w:t>
      </w:r>
      <w:r>
        <w:rPr>
          <w:sz w:val="18"/>
        </w:rPr>
        <w:tab/>
        <w:t xml:space="preserve">Los siguientes son los aspectos metodológicos contenidos en la Encuesta de Satisfacción de Mandantes DA:                 </w:t>
      </w:r>
    </w:p>
    <w:p w:rsidR="009857EC" w:rsidRDefault="009857EC">
      <w:pPr>
        <w:ind w:left="360"/>
        <w:jc w:val="both"/>
        <w:rPr>
          <w:sz w:val="18"/>
        </w:rPr>
      </w:pPr>
      <w:r>
        <w:rPr>
          <w:sz w:val="18"/>
        </w:rPr>
        <w:t xml:space="preserve">                f.1: Las dimensiones que cubre el estudio son (gestión, plazos, comunicación, calidad, expectativas, etc);                 </w:t>
      </w:r>
    </w:p>
    <w:p w:rsidR="009857EC" w:rsidRDefault="009857EC">
      <w:pPr>
        <w:ind w:left="360"/>
        <w:jc w:val="both"/>
        <w:rPr>
          <w:sz w:val="18"/>
        </w:rPr>
      </w:pPr>
      <w:r>
        <w:rPr>
          <w:sz w:val="18"/>
        </w:rPr>
        <w:t xml:space="preserve">                                </w:t>
      </w:r>
    </w:p>
    <w:p w:rsidR="009857EC" w:rsidRDefault="009857EC">
      <w:pPr>
        <w:ind w:left="360"/>
        <w:jc w:val="both"/>
        <w:rPr>
          <w:sz w:val="18"/>
        </w:rPr>
      </w:pPr>
      <w:r>
        <w:rPr>
          <w:sz w:val="18"/>
        </w:rPr>
        <w:t xml:space="preserve">                f.2: Escala de evaluación aplicada, varia en un rango de 1.0 a 7.0 donde (1.0 muy mala; 2.0 mala;3.0 deficiente;4.0 regular;5.0 buena;6.0 muy buena y 7.0 excelente);                 </w:t>
      </w:r>
    </w:p>
    <w:p w:rsidR="009857EC" w:rsidRDefault="009857EC">
      <w:pPr>
        <w:ind w:left="360"/>
        <w:jc w:val="both"/>
        <w:rPr>
          <w:sz w:val="18"/>
        </w:rPr>
      </w:pPr>
      <w:r>
        <w:rPr>
          <w:sz w:val="18"/>
        </w:rPr>
        <w:t xml:space="preserve">                                </w:t>
      </w:r>
    </w:p>
    <w:p w:rsidR="009857EC" w:rsidRDefault="009857EC">
      <w:pPr>
        <w:ind w:left="360"/>
        <w:jc w:val="both"/>
        <w:rPr>
          <w:sz w:val="18"/>
        </w:rPr>
      </w:pPr>
      <w:r>
        <w:rPr>
          <w:sz w:val="18"/>
        </w:rPr>
        <w:t xml:space="preserve">                 f.3: Tipo de instrumento aplicado: Encuesta de Satisfacción validada por la autoridad de la Dirección General de Obras Públicas  Ministerio de Obras Públicas.                         </w:t>
      </w:r>
    </w:p>
    <w:p w:rsidR="009857EC" w:rsidRDefault="009857EC">
      <w:pPr>
        <w:ind w:left="360"/>
        <w:jc w:val="both"/>
        <w:rPr>
          <w:sz w:val="18"/>
        </w:rPr>
      </w:pPr>
      <w:r>
        <w:rPr>
          <w:sz w:val="18"/>
        </w:rPr>
        <w:t xml:space="preserve">                                </w:t>
      </w:r>
    </w:p>
    <w:p w:rsidR="009857EC" w:rsidRDefault="009857EC">
      <w:pPr>
        <w:ind w:left="360"/>
        <w:jc w:val="both"/>
        <w:rPr>
          <w:sz w:val="18"/>
        </w:rPr>
      </w:pPr>
      <w:r>
        <w:rPr>
          <w:sz w:val="18"/>
        </w:rPr>
        <w:t xml:space="preserve">                       </w:t>
      </w:r>
    </w:p>
    <w:p w:rsidR="009857EC" w:rsidRDefault="009857EC">
      <w:pPr>
        <w:ind w:left="360"/>
        <w:jc w:val="both"/>
        <w:rPr>
          <w:sz w:val="18"/>
        </w:rPr>
      </w:pPr>
      <w:r>
        <w:rPr>
          <w:sz w:val="18"/>
        </w:rPr>
        <w:t xml:space="preserve">        </w:t>
      </w:r>
    </w:p>
    <w:p w:rsidR="009857EC" w:rsidRDefault="009857EC">
      <w:pPr>
        <w:ind w:left="360"/>
        <w:jc w:val="both"/>
        <w:rPr>
          <w:sz w:val="18"/>
        </w:rPr>
      </w:pPr>
    </w:p>
    <w:p w:rsidR="009857EC" w:rsidRDefault="009857EC">
      <w:pPr>
        <w:ind w:left="360"/>
        <w:jc w:val="both"/>
        <w:rPr>
          <w:sz w:val="18"/>
        </w:rPr>
      </w:pPr>
      <w:r>
        <w:rPr>
          <w:sz w:val="18"/>
        </w:rPr>
        <w:t xml:space="preserve">4  Este indicador tiene como finalidad la incorporación de obras de arte a la infraestructura pública, que cuenten con financiamiento para su materialización durante el periodo.        </w:t>
      </w:r>
    </w:p>
    <w:p w:rsidR="009857EC" w:rsidRDefault="009857EC">
      <w:pPr>
        <w:ind w:left="360"/>
        <w:jc w:val="both"/>
        <w:rPr>
          <w:sz w:val="18"/>
        </w:rPr>
      </w:pPr>
      <w:r>
        <w:rPr>
          <w:sz w:val="18"/>
        </w:rPr>
        <w:t xml:space="preserve">        a) La incorporación de Obras de Arte, considera todas las obras (trabajos plásticos de artes visuales) que se gestionan en este programa, a través de las convocatorias a concursos de arte o adjudicaciones directas, según modalidad que defina la Comisión.         </w:t>
      </w:r>
    </w:p>
    <w:p w:rsidR="009857EC" w:rsidRDefault="009857EC">
      <w:pPr>
        <w:ind w:left="360"/>
        <w:jc w:val="both"/>
        <w:rPr>
          <w:sz w:val="18"/>
        </w:rPr>
      </w:pPr>
      <w:r>
        <w:rPr>
          <w:sz w:val="18"/>
        </w:rPr>
        <w:t xml:space="preserve">        La adquisición de obras de arte es una modalidad de contratación (compra).        </w:t>
      </w:r>
    </w:p>
    <w:p w:rsidR="009857EC" w:rsidRDefault="009857EC">
      <w:pPr>
        <w:ind w:left="360"/>
        <w:jc w:val="both"/>
        <w:rPr>
          <w:sz w:val="18"/>
        </w:rPr>
      </w:pPr>
      <w:r>
        <w:rPr>
          <w:sz w:val="18"/>
        </w:rPr>
        <w:t xml:space="preserve">        La obra de arte se considera terminada cuando se cuenta con ella físicamente.        </w:t>
      </w:r>
    </w:p>
    <w:p w:rsidR="009857EC" w:rsidRDefault="009857EC">
      <w:pPr>
        <w:ind w:left="360"/>
        <w:jc w:val="both"/>
        <w:rPr>
          <w:sz w:val="18"/>
        </w:rPr>
      </w:pPr>
      <w:r>
        <w:rPr>
          <w:sz w:val="18"/>
        </w:rPr>
        <w:t xml:space="preserve">        La instalación de la obra de arte, es cuando se encuentra terminada e instalada en su emplazamiento definitivo.        </w:t>
      </w:r>
    </w:p>
    <w:p w:rsidR="009857EC" w:rsidRDefault="009857EC">
      <w:pPr>
        <w:ind w:left="360"/>
        <w:jc w:val="both"/>
        <w:rPr>
          <w:sz w:val="18"/>
        </w:rPr>
      </w:pPr>
      <w:r>
        <w:rPr>
          <w:sz w:val="18"/>
        </w:rPr>
        <w:t xml:space="preserve">        Excepcionalmente se consideraran para la medición las obras de arte cuya solicitud fueran realizadas en mismo año de la incorporación a la infraestructura pública.</w:t>
      </w:r>
    </w:p>
    <w:p w:rsidR="009857EC" w:rsidRDefault="009857EC">
      <w:pPr>
        <w:ind w:left="360"/>
        <w:jc w:val="both"/>
        <w:rPr>
          <w:sz w:val="18"/>
        </w:rPr>
      </w:pPr>
    </w:p>
    <w:p w:rsidR="009857EC" w:rsidRDefault="009857EC">
      <w:pPr>
        <w:ind w:left="360"/>
        <w:jc w:val="both"/>
        <w:rPr>
          <w:sz w:val="18"/>
        </w:rPr>
      </w:pPr>
      <w:r>
        <w:rPr>
          <w:sz w:val="18"/>
        </w:rPr>
        <w:t xml:space="preserve">5   Este indicador tiene como objetivo medir la cantidad de Obras en Patrimonio Arquitectónico terminadas.                 </w:t>
      </w:r>
    </w:p>
    <w:p w:rsidR="009857EC" w:rsidRDefault="009857EC">
      <w:pPr>
        <w:ind w:left="360"/>
        <w:jc w:val="both"/>
        <w:rPr>
          <w:sz w:val="18"/>
        </w:rPr>
      </w:pPr>
      <w:r>
        <w:rPr>
          <w:sz w:val="18"/>
        </w:rPr>
        <w:t xml:space="preserve">                                </w:t>
      </w:r>
    </w:p>
    <w:p w:rsidR="009857EC" w:rsidRDefault="009857EC">
      <w:pPr>
        <w:ind w:left="360"/>
        <w:jc w:val="both"/>
        <w:rPr>
          <w:sz w:val="18"/>
        </w:rPr>
      </w:pPr>
      <w:r>
        <w:rPr>
          <w:sz w:val="18"/>
        </w:rPr>
        <w:t xml:space="preserve">                Las Obras de Patrimonio para el año 2022 son las siguientes:                </w:t>
      </w:r>
    </w:p>
    <w:p w:rsidR="009857EC" w:rsidRDefault="009857EC">
      <w:pPr>
        <w:ind w:left="360"/>
        <w:jc w:val="both"/>
        <w:rPr>
          <w:sz w:val="18"/>
        </w:rPr>
      </w:pPr>
      <w:r>
        <w:rPr>
          <w:sz w:val="18"/>
        </w:rPr>
        <w:t xml:space="preserve">                CONSERVACION RESIDENCIA PRESIDENCIAL, CERRO CASTILLO, VIÑA DEL MAR                </w:t>
      </w:r>
    </w:p>
    <w:p w:rsidR="009857EC" w:rsidRDefault="009857EC">
      <w:pPr>
        <w:ind w:left="360"/>
        <w:jc w:val="both"/>
        <w:rPr>
          <w:sz w:val="18"/>
        </w:rPr>
      </w:pPr>
      <w:r>
        <w:rPr>
          <w:sz w:val="18"/>
        </w:rPr>
        <w:t xml:space="preserve">                CONSERVACION PALACIO DE LA MONEDA, SANTIAGO                </w:t>
      </w:r>
    </w:p>
    <w:p w:rsidR="009857EC" w:rsidRDefault="009857EC">
      <w:pPr>
        <w:ind w:left="360"/>
        <w:jc w:val="both"/>
        <w:rPr>
          <w:sz w:val="18"/>
        </w:rPr>
      </w:pPr>
      <w:r>
        <w:rPr>
          <w:sz w:val="18"/>
        </w:rPr>
        <w:t xml:space="preserve">        </w:t>
      </w:r>
    </w:p>
    <w:p w:rsidR="009857EC" w:rsidRDefault="009857EC">
      <w:pPr>
        <w:ind w:left="360"/>
        <w:jc w:val="both"/>
        <w:rPr>
          <w:sz w:val="18"/>
        </w:rPr>
      </w:pPr>
    </w:p>
    <w:p w:rsidR="009857EC" w:rsidRDefault="009857EC">
      <w:pPr>
        <w:jc w:val="both"/>
        <w:rPr>
          <w:sz w:val="18"/>
        </w:rPr>
      </w:pPr>
    </w:p>
    <w:p w:rsidR="009857EC" w:rsidRDefault="009857EC">
      <w:pPr>
        <w:jc w:val="both"/>
        <w:rPr>
          <w:sz w:val="18"/>
        </w:rPr>
      </w:pPr>
    </w:p>
    <w:p w:rsidR="00ED2DEC" w:rsidRDefault="009857EC">
      <w:pPr>
        <w:jc w:val="both"/>
        <w:rPr>
          <w:sz w:val="18"/>
          <w:szCs w:val="18"/>
        </w:rPr>
      </w:pPr>
      <w:r>
        <w:t xml:space="preserve"> </w:t>
      </w:r>
    </w:p>
    <w:p w:rsidR="00ED2DEC" w:rsidRDefault="00ED2DEC">
      <w:pPr>
        <w:jc w:val="both"/>
        <w:rPr>
          <w:sz w:val="18"/>
          <w:szCs w:val="18"/>
        </w:rPr>
      </w:pPr>
    </w:p>
    <w:p w:rsidR="00ED2DEC" w:rsidRDefault="00ED2DEC">
      <w:pPr>
        <w:jc w:val="both"/>
        <w:rPr>
          <w:sz w:val="18"/>
          <w:szCs w:val="18"/>
        </w:rPr>
      </w:pPr>
    </w:p>
    <w:sectPr w:rsidR="00ED2DEC">
      <w:footerReference w:type="default" r:id="rId6"/>
      <w:pgSz w:w="15840" w:h="12240" w:orient="landscape"/>
      <w:pgMar w:top="600" w:right="600" w:bottom="600" w:left="6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7EC" w:rsidRDefault="009857EC">
      <w:r>
        <w:separator/>
      </w:r>
    </w:p>
  </w:endnote>
  <w:endnote w:type="continuationSeparator" w:id="0">
    <w:p w:rsidR="009857EC" w:rsidRDefault="00985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DEC" w:rsidRDefault="00ED2DE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48D1">
      <w:rPr>
        <w:rStyle w:val="PageNumber"/>
        <w:noProof/>
      </w:rPr>
      <w:t>1</w:t>
    </w:r>
    <w:r>
      <w:rPr>
        <w:rStyle w:val="PageNumber"/>
      </w:rPr>
      <w:fldChar w:fldCharType="end"/>
    </w:r>
  </w:p>
  <w:p w:rsidR="00ED2DEC" w:rsidRDefault="00ED2DE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7EC" w:rsidRDefault="009857EC">
      <w:r>
        <w:separator/>
      </w:r>
    </w:p>
  </w:footnote>
  <w:footnote w:type="continuationSeparator" w:id="0">
    <w:p w:rsidR="009857EC" w:rsidRDefault="009857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doNotHyphenateCaps/>
  <w:drawingGridHorizontalSpacing w:val="120"/>
  <w:displayVerticalDrawingGridEvery w:val="2"/>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76BD"/>
    <w:rsid w:val="000848D1"/>
    <w:rsid w:val="00350B76"/>
    <w:rsid w:val="0036480B"/>
    <w:rsid w:val="00437FAD"/>
    <w:rsid w:val="004430DC"/>
    <w:rsid w:val="007F76BD"/>
    <w:rsid w:val="00815AF9"/>
    <w:rsid w:val="00904EDA"/>
    <w:rsid w:val="009556CA"/>
    <w:rsid w:val="009857EC"/>
    <w:rsid w:val="009928AD"/>
    <w:rsid w:val="00AA0816"/>
    <w:rsid w:val="00AB13B9"/>
    <w:rsid w:val="00BC4105"/>
    <w:rsid w:val="00DC58CD"/>
    <w:rsid w:val="00DD473A"/>
    <w:rsid w:val="00E85186"/>
    <w:rsid w:val="00ED2DEC"/>
    <w:rsid w:val="00F46561"/>
    <w:rsid w:val="00F65F9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6B761568-2BFA-4D99-A6F5-A3B93A0B8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lang w:val="es-ES" w:eastAsia="es-ES"/>
    </w:rPr>
  </w:style>
  <w:style w:type="paragraph" w:styleId="Heading1">
    <w:name w:val="heading 1"/>
    <w:basedOn w:val="Normal"/>
    <w:next w:val="Normal"/>
    <w:link w:val="Heading1Char"/>
    <w:uiPriority w:val="99"/>
    <w:qFormat/>
    <w:pPr>
      <w:keepNext/>
      <w:jc w:val="center"/>
      <w:outlineLvl w:val="0"/>
    </w:pPr>
    <w:rPr>
      <w:sz w:val="16"/>
      <w:szCs w:val="16"/>
      <w:u w:val="single"/>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s-ES" w:eastAsia="es-ES"/>
    </w:rPr>
  </w:style>
  <w:style w:type="paragraph" w:styleId="Footer">
    <w:name w:val="footer"/>
    <w:basedOn w:val="Normal"/>
    <w:link w:val="Foot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es-ES" w:eastAsia="es-ES"/>
    </w:rPr>
  </w:style>
  <w:style w:type="character" w:styleId="PageNumber">
    <w:name w:val="page number"/>
    <w:basedOn w:val="DefaultParagraphFont"/>
    <w:uiPriority w:val="99"/>
    <w:rPr>
      <w:rFonts w:cs="Times New Roman"/>
    </w:rPr>
  </w:style>
  <w:style w:type="character" w:customStyle="1" w:styleId="FooterChar">
    <w:name w:val="Footer Char"/>
    <w:basedOn w:val="DefaultParagraphFont"/>
    <w:link w:val="Footer"/>
    <w:uiPriority w:val="99"/>
    <w:semiHidden/>
    <w:locked/>
    <w:rPr>
      <w:rFonts w:cs="Times New Roman"/>
      <w:sz w:val="24"/>
      <w:szCs w:val="24"/>
      <w:lang w:val="es-ES" w:eastAsia="es-ES"/>
    </w:rPr>
  </w:style>
  <w:style w:type="paragraph" w:styleId="BodyText">
    <w:name w:val="Body Text"/>
    <w:basedOn w:val="Normal"/>
    <w:link w:val="BodyTextChar"/>
    <w:uiPriority w:val="99"/>
    <w:pPr>
      <w:jc w:val="center"/>
    </w:pPr>
    <w:rPr>
      <w:sz w:val="18"/>
      <w:szCs w:val="18"/>
    </w:rPr>
  </w:style>
  <w:style w:type="paragraph" w:styleId="BodyText2">
    <w:name w:val="Body Text 2"/>
    <w:basedOn w:val="Normal"/>
    <w:link w:val="BodyText2Char"/>
    <w:uiPriority w:val="99"/>
    <w:pPr>
      <w:jc w:val="center"/>
    </w:pPr>
    <w:rPr>
      <w:sz w:val="16"/>
      <w:szCs w:val="16"/>
      <w:u w:val="single"/>
    </w:rPr>
  </w:style>
  <w:style w:type="character" w:customStyle="1" w:styleId="BodyTextChar">
    <w:name w:val="Body Text Char"/>
    <w:basedOn w:val="DefaultParagraphFont"/>
    <w:link w:val="BodyText"/>
    <w:uiPriority w:val="99"/>
    <w:semiHidden/>
    <w:locked/>
    <w:rPr>
      <w:rFonts w:cs="Times New Roman"/>
      <w:sz w:val="24"/>
      <w:szCs w:val="24"/>
      <w:lang w:val="es-ES" w:eastAsia="es-ES"/>
    </w:rPr>
  </w:style>
  <w:style w:type="character" w:customStyle="1" w:styleId="BodyText2Char">
    <w:name w:val="Body Text 2 Char"/>
    <w:basedOn w:val="DefaultParagraphFont"/>
    <w:link w:val="BodyText2"/>
    <w:uiPriority w:val="99"/>
    <w:semiHidden/>
    <w:locked/>
    <w:rPr>
      <w:rFonts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1399</Words>
  <Characters>7977</Characters>
  <Application>Microsoft Office Word</Application>
  <DocSecurity>4</DocSecurity>
  <Lines>66</Lines>
  <Paragraphs>18</Paragraphs>
  <ScaleCrop>false</ScaleCrop>
  <Company>Dipres</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INDICADORES DE DESEMPEÑO</dc:title>
  <dc:subject/>
  <dc:creator>AFA</dc:creator>
  <cp:keywords/>
  <dc:description/>
  <cp:lastModifiedBy>word</cp:lastModifiedBy>
  <cp:revision>2</cp:revision>
  <dcterms:created xsi:type="dcterms:W3CDTF">2023-09-27T18:41:00Z</dcterms:created>
  <dcterms:modified xsi:type="dcterms:W3CDTF">2023-09-27T18:41:00Z</dcterms:modified>
</cp:coreProperties>
</file>