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63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180"/>
        <w:gridCol w:w="23"/>
        <w:gridCol w:w="23"/>
        <w:gridCol w:w="23"/>
        <w:gridCol w:w="23"/>
        <w:gridCol w:w="11095"/>
        <w:gridCol w:w="41"/>
        <w:gridCol w:w="21"/>
        <w:gridCol w:w="2"/>
        <w:gridCol w:w="532"/>
      </w:tblGrid>
      <w:tr>
        <w:trPr>
          <w:trHeight w:val="130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228" w:type="dxa"/>
            <w:gridSpan w:val="6"/>
            <w:tcBorders/>
            <w:shd w:fill="auto" w:val="clear"/>
          </w:tcPr>
          <w:tbl>
            <w:tblPr>
              <w:tblW w:w="11220" w:type="dxa"/>
              <w:jc w:val="start"/>
              <w:tblInd w:w="0" w:type="dxa"/>
              <w:tblBorders/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11220"/>
            </w:tblGrid>
            <w:tr>
              <w:trPr>
                <w:trHeight w:val="732" w:hRule="atLeast"/>
              </w:trPr>
              <w:tc>
                <w:tcPr>
                  <w:tcW w:w="11220" w:type="dxa"/>
                  <w:tcBorders/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  <w:sz w:val="28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  <w:sz w:val="28"/>
                    </w:rPr>
                    <w:t>FICHA DE DEFINICIONES ESTRATÉGICAS AÑO 2019-2022</w:t>
                    <w:br/>
                    <w:t xml:space="preserve">(Formulario A1) 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226" w:type="dxa"/>
            <w:gridSpan w:val="6"/>
            <w:tcBorders/>
            <w:shd w:fill="auto" w:val="clear"/>
          </w:tcPr>
          <w:tbl>
            <w:tblPr>
              <w:tblW w:w="11242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insideH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1520"/>
              <w:gridCol w:w="7219"/>
              <w:gridCol w:w="1431"/>
              <w:gridCol w:w="1072"/>
            </w:tblGrid>
            <w:tr>
              <w:trPr>
                <w:trHeight w:val="282" w:hRule="atLeast"/>
              </w:trPr>
              <w:tc>
                <w:tcPr>
                  <w:tcW w:w="152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MINISTERIO</w:t>
                  </w:r>
                </w:p>
              </w:tc>
              <w:tc>
                <w:tcPr>
                  <w:tcW w:w="7219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MINISTERIO DE OBRAS PUBLICAS                                                    </w:t>
                  </w:r>
                </w:p>
              </w:tc>
              <w:tc>
                <w:tcPr>
                  <w:tcW w:w="1431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C0C0C0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PARTIDA</w:t>
                  </w:r>
                </w:p>
              </w:tc>
              <w:tc>
                <w:tcPr>
                  <w:tcW w:w="1072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52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SERVICIO</w:t>
                  </w:r>
                </w:p>
              </w:tc>
              <w:tc>
                <w:tcPr>
                  <w:tcW w:w="7219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DIRECCION DE ARQUITECTURA</w:t>
                  </w:r>
                </w:p>
              </w:tc>
              <w:tc>
                <w:tcPr>
                  <w:tcW w:w="1431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C0C0C0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CAPITULO</w:t>
                  </w:r>
                </w:p>
              </w:tc>
              <w:tc>
                <w:tcPr>
                  <w:tcW w:w="1072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02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118" w:type="dxa"/>
            <w:gridSpan w:val="2"/>
            <w:tcBorders/>
            <w:shd w:fill="auto" w:val="clear"/>
          </w:tcPr>
          <w:tbl>
            <w:tblPr>
              <w:tblW w:w="11151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end w:val="single" w:sz="6" w:space="0" w:color="D3D3D3"/>
                <w:insideH w:val="single" w:sz="6" w:space="0" w:color="D3D3D3"/>
                <w:insideV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11151"/>
            </w:tblGrid>
            <w:tr>
              <w:trPr>
                <w:trHeight w:val="282" w:hRule="atLeast"/>
              </w:trPr>
              <w:tc>
                <w:tcPr>
                  <w:tcW w:w="11151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Ley orgánica o Decreto que la rige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1151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D.F.L. M.O.P. N°850/1997, que fija el texto refundido, coordinado y sistematizado de la Ley Orgánica N°15.840, Orgánica del Ministerio de Obras Públicas, que establece las atribuciones de la Dirección de Arquitectura.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118" w:type="dxa"/>
            <w:gridSpan w:val="2"/>
            <w:tcBorders/>
            <w:shd w:fill="auto" w:val="clear"/>
          </w:tcPr>
          <w:tbl>
            <w:tblPr>
              <w:tblW w:w="11151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end w:val="single" w:sz="6" w:space="0" w:color="D3D3D3"/>
                <w:insideH w:val="single" w:sz="6" w:space="0" w:color="D3D3D3"/>
                <w:insideV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11151"/>
            </w:tblGrid>
            <w:tr>
              <w:trPr>
                <w:trHeight w:val="282" w:hRule="atLeast"/>
              </w:trPr>
              <w:tc>
                <w:tcPr>
                  <w:tcW w:w="11151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Mision institucional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1151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En el ámbito de las políticas de estado, provee y conserva edificación pública y obras de arte, restaura y promueve la protección del patrimonio arquitectónico de la nación, contribuyendo a la equidad en el desarrollo social, cultural y calidad de vida de las personas, a través de acciones realizadas por el Servicio en coordinación con el MOP o por mandato de otras instituciones.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203" w:type="dxa"/>
            <w:gridSpan w:val="5"/>
            <w:tcBorders/>
            <w:shd w:fill="auto" w:val="clear"/>
          </w:tcPr>
          <w:tbl>
            <w:tblPr>
              <w:tblW w:w="11223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end w:val="single" w:sz="6" w:space="0" w:color="D3D3D3"/>
                <w:insideH w:val="single" w:sz="6" w:space="0" w:color="D3D3D3"/>
                <w:insideV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1257"/>
              <w:gridCol w:w="9966"/>
            </w:tblGrid>
            <w:tr>
              <w:trPr>
                <w:trHeight w:val="282" w:hRule="atLeast"/>
              </w:trPr>
              <w:tc>
                <w:tcPr>
                  <w:tcW w:w="11223" w:type="dxa"/>
                  <w:gridSpan w:val="2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Objetivos Estratégicos del Ministerio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25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Número</w:t>
                  </w:r>
                </w:p>
              </w:tc>
              <w:tc>
                <w:tcPr>
                  <w:tcW w:w="996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Descripción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25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996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Estado con visión de largo plazo. Proveer y gestionar obras y servicios de infraestructura y gestión hídrica que contribuyan al desarrollo económico, social, cultural y sustentable del país, permitiendo la conectividad, la protección del territorio y las nuevas oportunidades, fortaleciendo las concesiones como herramienta de financiamiento y operación eficiente de las obras. 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25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996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Desarrollo social y cultural a través de la infraestructura. Promover la movilidad de las personas y los bienes a lo largo del país, para el impulso de una infraestructura resiliente y gestión hídrica que propicie la productividad, en concordancia con las estrategias de desarrollo nacional y regional. 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25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996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Hacer las obras en tiempo y forma adecuados. Gestionar los procesos de planificación, ejecución, explotación y evaluación de la Infraestructura y gestión hídrica de forma oportuna, de manera de garantizar su calidad y pertinencia en el tiempo. 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25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996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Contribuir y promover la gestión eficiente y sustentable del medio ambiente, de los ecosistemas y del recurso hídrico. Regular y priorizar la disponibilidad y distribución de los recursos hídricos, de tal forma que contribuya a la suficiencia y abastecimiento sustentable y eficiente para toda la población. 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157" w:type="dxa"/>
            <w:gridSpan w:val="3"/>
            <w:tcBorders/>
            <w:shd w:fill="auto" w:val="clear"/>
          </w:tcPr>
          <w:tbl>
            <w:tblPr>
              <w:tblW w:w="11207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end w:val="single" w:sz="6" w:space="0" w:color="D3D3D3"/>
                <w:insideH w:val="single" w:sz="6" w:space="0" w:color="D3D3D3"/>
                <w:insideV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860"/>
              <w:gridCol w:w="7329"/>
              <w:gridCol w:w="1740"/>
              <w:gridCol w:w="1278"/>
            </w:tblGrid>
            <w:tr>
              <w:trPr>
                <w:trHeight w:val="282" w:hRule="atLeast"/>
              </w:trPr>
              <w:tc>
                <w:tcPr>
                  <w:tcW w:w="11207" w:type="dxa"/>
                  <w:gridSpan w:val="4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Objetivos Estratégicos Institucionales</w:t>
                  </w:r>
                </w:p>
              </w:tc>
            </w:tr>
            <w:tr>
              <w:trPr>
                <w:trHeight w:val="957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Número</w:t>
                  </w:r>
                </w:p>
              </w:tc>
              <w:tc>
                <w:tcPr>
                  <w:tcW w:w="7329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Descripción</w:t>
                  </w:r>
                </w:p>
              </w:tc>
              <w:tc>
                <w:tcPr>
                  <w:tcW w:w="174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Objetivos Relevantes del Ministerio vinculados</w:t>
                  </w:r>
                </w:p>
              </w:tc>
              <w:tc>
                <w:tcPr>
                  <w:tcW w:w="1278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Productos Estratégicos vinculados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329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Aportar al desarrollo humano, social y cultural en comunidades y ciudades, mejorando la equidad y calidad de vida de las personas a través de la provisión de la Edificación pública ,del Arte y la puesta en valor del Patrimonio  Arquitectónico y Urbano de calidad y conservando la identidad de las distintas zonas geográficas del país. </w:t>
                  </w:r>
                </w:p>
              </w:tc>
              <w:tc>
                <w:tcPr>
                  <w:tcW w:w="174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278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1,2,3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329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Contribuir y promover la gestión eficiente de obras con visión de largo plazo además en el resguardo del medioambiental, para el beneficio de las personas a través de la provisión de servicios de Edificación Pública incorporando la participación ciudadana. </w:t>
                  </w:r>
                </w:p>
              </w:tc>
              <w:tc>
                <w:tcPr>
                  <w:tcW w:w="174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1,2,3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329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Propender a alcanzar altos estándares de eficiencia y eficacia en el uso de los recursos públicos asociados a la ejecución de obras de Edificación Pública, el Arte y la puesta en valor del Patrimonio Arquitectónico y Urbano a través de una planificación y  ejecución del desarrollo de la misma,  y de la  generación e implementación de instrumentos, procedimientos y estándares de Edificación Pública. </w:t>
                  </w:r>
                </w:p>
              </w:tc>
              <w:tc>
                <w:tcPr>
                  <w:tcW w:w="174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2, 3</w:t>
                  </w:r>
                </w:p>
              </w:tc>
              <w:tc>
                <w:tcPr>
                  <w:tcW w:w="1278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1,2,3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203" w:type="dxa"/>
            <w:gridSpan w:val="5"/>
            <w:tcBorders/>
            <w:shd w:fill="auto" w:val="clear"/>
          </w:tcPr>
          <w:tbl>
            <w:tblPr>
              <w:tblW w:w="11223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end w:val="single" w:sz="6" w:space="0" w:color="D3D3D3"/>
                <w:insideH w:val="single" w:sz="6" w:space="0" w:color="D3D3D3"/>
                <w:insideV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860"/>
              <w:gridCol w:w="3346"/>
              <w:gridCol w:w="4710"/>
              <w:gridCol w:w="1254"/>
              <w:gridCol w:w="1053"/>
            </w:tblGrid>
            <w:tr>
              <w:trPr>
                <w:trHeight w:val="282" w:hRule="atLeast"/>
              </w:trPr>
              <w:tc>
                <w:tcPr>
                  <w:tcW w:w="11223" w:type="dxa"/>
                  <w:gridSpan w:val="5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Productos Estratégicos (Bienes y/o servicios)</w:t>
                  </w:r>
                </w:p>
              </w:tc>
            </w:tr>
            <w:tr>
              <w:trPr>
                <w:trHeight w:val="957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Número</w:t>
                  </w:r>
                </w:p>
              </w:tc>
              <w:tc>
                <w:tcPr>
                  <w:tcW w:w="334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Producto Estratégico</w:t>
                  </w:r>
                </w:p>
              </w:tc>
              <w:tc>
                <w:tcPr>
                  <w:tcW w:w="471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Descripción</w:t>
                  </w:r>
                </w:p>
              </w:tc>
              <w:tc>
                <w:tcPr>
                  <w:tcW w:w="1254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Clientes</w:t>
                  </w:r>
                </w:p>
              </w:tc>
              <w:tc>
                <w:tcPr>
                  <w:tcW w:w="105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Aplica Enfoque de Género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34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Servicios de Edificación Pública.</w:t>
                  </w:r>
                </w:p>
              </w:tc>
              <w:tc>
                <w:tcPr>
                  <w:tcW w:w="471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Edificación Pública, corresponden a los edificios que construye el Sector Público y los programas y/o planes que se realizan  para satisfacer las necesidades de la Infraestructura de los diferentes Sectores en que se organiza el Estado (tales como Sector Educación, Salud, Justicia, Gobierno Interior, Defensa y Seguridad, Cultura y Patrimonio Arquitectónico entre otros). </w:t>
                  </w:r>
                </w:p>
              </w:tc>
              <w:tc>
                <w:tcPr>
                  <w:tcW w:w="1254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1,3,4,5</w:t>
                  </w:r>
                </w:p>
              </w:tc>
              <w:tc>
                <w:tcPr>
                  <w:tcW w:w="105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Si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334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Obras de Arte asociadas a la infraestructura pública.</w:t>
                  </w:r>
                </w:p>
              </w:tc>
              <w:tc>
                <w:tcPr>
                  <w:tcW w:w="471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Incorporar Obras de Arte en el ámbito de la plástica (proceso de gestión, convocatoria y ejecución de obras), a la edificación pública y obras de infraestructura, con el objeto de favorecer el ejercicio, práctica y difusión de las artes y del patrimonio cultural de la Nación, </w:t>
                    <w:br/>
                    <w:t xml:space="preserve">(Ley 17.236). </w:t>
                    <w:br/>
                  </w:r>
                </w:p>
              </w:tc>
              <w:tc>
                <w:tcPr>
                  <w:tcW w:w="1254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1,2,3,4,5,6</w:t>
                  </w:r>
                </w:p>
              </w:tc>
              <w:tc>
                <w:tcPr>
                  <w:tcW w:w="105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Si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346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Servicios de Edificación Pública Patrimonial.</w:t>
                  </w:r>
                </w:p>
              </w:tc>
              <w:tc>
                <w:tcPr>
                  <w:tcW w:w="471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El Servicio de Edificación Pública Patrimonial, está orientado a cautelar y conservar el patrimonio cultural arquitectónico de valor excepcional del Estado en beneficio de la memoria histórica de la Nación y del desarrollo de las comunidades. La Dirección de Arquitectura como ente técnico tiene la misión de proteger, gestionar y poner en valor el patrimonio arquitectónico de inmuebles de propiedad estatal o privada sin fines de lucro, estando o nó protegidos legalmente mediante la ley de 17.288 de Monumentos Nacionales o el Art. N° 60 de la Ley General de Urbanismo y Construcciones.</w:t>
                  </w:r>
                </w:p>
              </w:tc>
              <w:tc>
                <w:tcPr>
                  <w:tcW w:w="1254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1,2,5,6</w:t>
                  </w:r>
                </w:p>
              </w:tc>
              <w:tc>
                <w:tcPr>
                  <w:tcW w:w="105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No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157" w:type="dxa"/>
            <w:gridSpan w:val="3"/>
            <w:tcBorders/>
            <w:shd w:fill="auto" w:val="clear"/>
          </w:tcPr>
          <w:tbl>
            <w:tblPr>
              <w:tblW w:w="11207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insideH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870"/>
              <w:gridCol w:w="10337"/>
            </w:tblGrid>
            <w:tr>
              <w:trPr>
                <w:trHeight w:val="282" w:hRule="atLeast"/>
              </w:trPr>
              <w:tc>
                <w:tcPr>
                  <w:tcW w:w="8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Número</w:t>
                  </w:r>
                </w:p>
              </w:tc>
              <w:tc>
                <w:tcPr>
                  <w:tcW w:w="1033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C0C0C0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Organismos Colaboradores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8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end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033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Dirección de Presupuesto Ministerio de Hacienda, (DIPRES)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8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end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033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Ministerio de Desarrollo Social (MIDESO)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8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end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033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Contraloría General de la Republica (CGR)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8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end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10337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Gobiernos Regionales (GORE)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180" w:type="dxa"/>
            <w:gridSpan w:val="4"/>
            <w:tcBorders/>
            <w:shd w:fill="auto" w:val="clear"/>
          </w:tcPr>
          <w:tbl>
            <w:tblPr>
              <w:tblW w:w="11213" w:type="dxa"/>
              <w:jc w:val="start"/>
              <w:tblInd w:w="1" w:type="dxa"/>
              <w:tblBorders>
                <w:top w:val="single" w:sz="6" w:space="0" w:color="D3D3D3"/>
                <w:start w:val="single" w:sz="6" w:space="0" w:color="D3D3D3"/>
                <w:bottom w:val="single" w:sz="6" w:space="0" w:color="D3D3D3"/>
                <w:insideH w:val="single" w:sz="6" w:space="0" w:color="D3D3D3"/>
              </w:tblBorders>
              <w:tblCellMar>
                <w:top w:w="39" w:type="dxa"/>
                <w:start w:w="39" w:type="dxa"/>
                <w:bottom w:w="39" w:type="dxa"/>
                <w:end w:w="39" w:type="dxa"/>
              </w:tblCellMar>
            </w:tblPr>
            <w:tblGrid>
              <w:gridCol w:w="860"/>
              <w:gridCol w:w="7883"/>
              <w:gridCol w:w="2470"/>
            </w:tblGrid>
            <w:tr>
              <w:trPr>
                <w:trHeight w:val="282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C0C0C0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Número</w:t>
                  </w:r>
                </w:p>
              </w:tc>
              <w:tc>
                <w:tcPr>
                  <w:tcW w:w="788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C0C0C0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Clientes</w:t>
                  </w:r>
                </w:p>
              </w:tc>
              <w:tc>
                <w:tcPr>
                  <w:tcW w:w="24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C0C0C0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b/>
                      <w:b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000000"/>
                    </w:rPr>
                    <w:t>Cuantificación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8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Organismos y Empresas del Estado (Municipios, Gobiernos Regionales, Ministerios, Universidades del consejo de Rectores, Consejo de Monumentos Nacionales, Comisión Nemesio Antúnez)</w:t>
                  </w:r>
                </w:p>
              </w:tc>
              <w:tc>
                <w:tcPr>
                  <w:tcW w:w="24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60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8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Comunidades organizadas</w:t>
                  </w:r>
                </w:p>
              </w:tc>
              <w:tc>
                <w:tcPr>
                  <w:tcW w:w="24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88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Usuarios y usuarias de la Infraestructura de Edificación  Públicas, que utilizan obras tales como Internados, Liceos, Escuelas, Estadios, Recintos Policiales, Oficina del Registro Civil, Medico Legal, Hospitales, Recintos del SENAME y Cárceles, Edificios Patrimoniales y de uso Cultural, entre otros.</w:t>
                  </w:r>
                </w:p>
              </w:tc>
              <w:tc>
                <w:tcPr>
                  <w:tcW w:w="24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17.000.000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8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Personas beneficiada por los efectos de la construcción de la infraestructura de edificación publica  tales como las que se ejecutan en los Sectores de; Educación, Justicia, Salud, Deportes y Recreación, y el Sector Patrimonial y Cultural, entre otros.</w:t>
                  </w:r>
                </w:p>
              </w:tc>
              <w:tc>
                <w:tcPr>
                  <w:tcW w:w="24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17.000.000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8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Servicios MOP</w:t>
                  </w:r>
                </w:p>
              </w:tc>
              <w:tc>
                <w:tcPr>
                  <w:tcW w:w="24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6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83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insideH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 xml:space="preserve">Organismos Internacionales </w:t>
                    <w:br/>
                  </w:r>
                </w:p>
              </w:tc>
              <w:tc>
                <w:tcPr>
                  <w:tcW w:w="2470" w:type="dxa"/>
                  <w:tcBorders>
                    <w:top w:val="single" w:sz="6" w:space="0" w:color="D3D3D3"/>
                    <w:start w:val="single" w:sz="6" w:space="0" w:color="D3D3D3"/>
                    <w:bottom w:val="single" w:sz="6" w:space="0" w:color="D3D3D3"/>
                    <w:end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  <w:tcMar>
                    <w:top w:w="0" w:type="dxa"/>
                    <w:start w:w="0" w:type="dxa"/>
                    <w:bottom w:w="0" w:type="dxa"/>
                    <w:end w:w="0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eastAsia="Arial" w:cs="Arial"/>
                      <w:color w:val="000000"/>
                    </w:rPr>
                  </w:pPr>
                  <w:r>
                    <w:rPr>
                      <w:rFonts w:eastAsia="Arial" w:cs="Arial" w:ascii="Arial" w:hAnsi="Arial"/>
                      <w:color w:val="000000"/>
                    </w:rPr>
                    <w:t>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34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11095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</w:tcPr>
          <w:p>
            <w:pPr>
              <w:pStyle w:val="EmptyLayoutCel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840" w:h="15840"/>
      <w:pgMar w:left="432" w:right="432" w:header="0" w:top="432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mptyLayoutCell">
    <w:name w:val="EmptyLayoutCell"/>
    <w:basedOn w:val="Normal"/>
    <w:qFormat/>
    <w:pPr/>
    <w:rPr>
      <w:sz w:val="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2021-06-03T01:14:00Z</dcterms:created>
  <dc:creator>Alexis Salgado Bravo (SOP)</dc:creator>
  <dc:description/>
  <cp:keywords/>
  <dc:language>en-US</dc:language>
  <cp:lastModifiedBy>Alexis Salgado Bravo (SOP)</cp:lastModifiedBy>
  <dcterms:modified xsi:type="dcterms:W3CDTF">2021-06-03T01:14:00Z</dcterms:modified>
  <cp:revision>2</cp:revision>
  <dc:subject/>
  <dc:title>ReporteInformeGestionA1PE</dc:title>
</cp:coreProperties>
</file>