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E456DF">
        <w:rPr>
          <w:b/>
        </w:rPr>
        <w:t>Dirección General de Obras Públicas</w:t>
      </w:r>
      <w:r w:rsidRPr="00E456DF">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CF6441">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EB5658">
        <w:rPr>
          <w:b/>
        </w:rPr>
        <w:t>Infraestructura para el Buen Vivir (07,08)</w:t>
      </w:r>
    </w:p>
    <w:p w14:paraId="2306B9BD" w14:textId="77777777" w:rsidR="005D7B45" w:rsidRDefault="005D7B45" w:rsidP="005D7B45">
      <w:r>
        <w:t>Transferencias tramitadas (*)</w:t>
      </w:r>
    </w:p>
    <w:p w14:paraId="25B18F22" w14:textId="77777777" w:rsidR="00380D1B" w:rsidRDefault="00380D1B" w:rsidP="005D7B45"/>
    <w:p w14:paraId="7F8C5504" w14:textId="7E4EB1C3" w:rsidR="00380D1B" w:rsidRDefault="00380D1B" w:rsidP="00380D1B">
      <w:r>
        <w:t xml:space="preserve">No se han realizado transferencias en el periodo </w:t>
      </w:r>
      <w:r w:rsidR="00EB5658">
        <w:t>Abril</w:t>
      </w:r>
      <w:r>
        <w:t xml:space="preserve"> 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EB5658">
        <w:rPr>
          <w:b/>
        </w:rPr>
        <w:lastRenderedPageBreak/>
        <w:t>Fondo de Infraestructura para el Desarrollo - 2023 (05)</w:t>
      </w:r>
    </w:p>
    <w:p w14:paraId="2703BA65" w14:textId="77777777" w:rsidR="005D7B45" w:rsidRDefault="005D7B45" w:rsidP="005D7B45">
      <w:r>
        <w:t>Transferencias tramitadas (*)</w:t>
      </w:r>
    </w:p>
    <w:p w14:paraId="13C32895" w14:textId="77777777" w:rsidR="00380D1B" w:rsidRDefault="00380D1B" w:rsidP="005D7B45"/>
    <w:p w14:paraId="1D7B7E86" w14:textId="40591771" w:rsidR="00380D1B" w:rsidRDefault="00380D1B" w:rsidP="00380D1B">
      <w:r>
        <w:t>No se han realiza</w:t>
      </w:r>
      <w:r w:rsidR="00EB5658">
        <w:t>do transferencias en el periodo Abril</w:t>
      </w:r>
      <w:r>
        <w:t xml:space="preserve"> 2023.</w:t>
      </w:r>
    </w:p>
    <w:p w14:paraId="40F8A269"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CF6441">
      <w:pPr>
        <w:shd w:val="clear" w:color="auto" w:fill="FFFFFF" w:themeFill="background1"/>
        <w:rPr>
          <w:b/>
        </w:rPr>
      </w:pPr>
      <w:r w:rsidRPr="00CF6441">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20"/>
        <w:gridCol w:w="736"/>
        <w:gridCol w:w="1021"/>
        <w:gridCol w:w="1231"/>
        <w:gridCol w:w="1322"/>
        <w:gridCol w:w="3324"/>
        <w:gridCol w:w="1100"/>
        <w:gridCol w:w="1163"/>
      </w:tblGrid>
      <w:tr w:rsidR="00542E99" w14:paraId="035D3FF4" w14:textId="77777777" w:rsidTr="00B2673E">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37"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14"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07"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844A6F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BEDD4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1AA69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30EAE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CD7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566B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1F6E82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EA8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70355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18BAD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830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EC06C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83DB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645DAF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3483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B8337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E2E1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597C54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1E7CA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A7A60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3AE7A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1E037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856EB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7FA6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79F92A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091F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9A889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4D8AA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A6726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26C52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7FE2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21898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12C1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A7221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0DD88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E5749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4A1C62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B7EA3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20998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61BF5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8BD9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F5508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AC9B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FFFE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5AD47D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3966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522A88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CBB3D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44FE6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EF0E5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105BF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3C210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8BF88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ECBB1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6F8AC3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CF06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2BFBC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082222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80BD4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E3BD7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3BD12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1283A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FB068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6F6C0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09D58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8EBAC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B477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A883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D1A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02A0D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95A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54B55F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1D9FF281" w14:textId="7A8A2E53" w:rsidR="000B2596" w:rsidRDefault="00065F5F" w:rsidP="00717C0E">
      <w:pPr>
        <w:spacing w:after="160" w:line="259" w:lineRule="auto"/>
        <w:rPr>
          <w:b/>
        </w:rPr>
      </w:pPr>
      <w:r>
        <w:rPr>
          <w:b/>
        </w:rPr>
        <w:br/>
      </w:r>
    </w:p>
    <w:p w14:paraId="22200D8E" w14:textId="77777777" w:rsidR="00065F5F" w:rsidRDefault="00065F5F" w:rsidP="00717C0E">
      <w:pPr>
        <w:spacing w:after="160" w:line="259" w:lineRule="auto"/>
        <w:rPr>
          <w:b/>
        </w:rPr>
      </w:pPr>
      <w:bookmarkStart w:id="0" w:name="_GoBack"/>
      <w:bookmarkEnd w:id="0"/>
    </w:p>
    <w:p w14:paraId="5DF0A94A" w14:textId="47D3A095" w:rsidR="00A773C9" w:rsidRDefault="00A773C9" w:rsidP="00717C0E">
      <w:pPr>
        <w:spacing w:after="160" w:line="259" w:lineRule="auto"/>
        <w:rPr>
          <w:b/>
        </w:rPr>
      </w:pPr>
      <w:r w:rsidRPr="008F1764">
        <w:rPr>
          <w:b/>
        </w:rPr>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8F17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8F1764" w:rsidRPr="000F3CC9" w14:paraId="011AB8AA" w14:textId="77777777" w:rsidTr="008F176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28B3ED97"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73FDE0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57BF575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11/04/2023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69217DA9" w:rsidR="008F1764" w:rsidRPr="002A0338" w:rsidRDefault="008F1764" w:rsidP="008F1764">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F2434B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153.665.000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5F3693C9" w:rsidR="008F1764" w:rsidRPr="002A0338" w:rsidRDefault="008F1764" w:rsidP="008F1764">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15E5D67B"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2708D9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C9DB" w14:textId="77777777" w:rsidR="00EB5658" w:rsidRDefault="00EB5658" w:rsidP="00380D1B">
      <w:r>
        <w:separator/>
      </w:r>
    </w:p>
  </w:endnote>
  <w:endnote w:type="continuationSeparator" w:id="0">
    <w:p w14:paraId="15ED5853" w14:textId="77777777" w:rsidR="00EB5658" w:rsidRDefault="00EB5658"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6D7A" w14:textId="77777777" w:rsidR="00EB5658" w:rsidRDefault="00EB5658" w:rsidP="00380D1B">
      <w:r>
        <w:separator/>
      </w:r>
    </w:p>
  </w:footnote>
  <w:footnote w:type="continuationSeparator" w:id="0">
    <w:p w14:paraId="1CDCD803" w14:textId="77777777" w:rsidR="00EB5658" w:rsidRDefault="00EB5658"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65F5F"/>
    <w:rsid w:val="000774DA"/>
    <w:rsid w:val="00077918"/>
    <w:rsid w:val="000B2596"/>
    <w:rsid w:val="000B5864"/>
    <w:rsid w:val="000D512B"/>
    <w:rsid w:val="000E0F03"/>
    <w:rsid w:val="000F3CC9"/>
    <w:rsid w:val="00120273"/>
    <w:rsid w:val="001638D3"/>
    <w:rsid w:val="001728DA"/>
    <w:rsid w:val="001750C5"/>
    <w:rsid w:val="001A7732"/>
    <w:rsid w:val="001B6DAC"/>
    <w:rsid w:val="001E0B36"/>
    <w:rsid w:val="001F1E37"/>
    <w:rsid w:val="0021275E"/>
    <w:rsid w:val="00220B45"/>
    <w:rsid w:val="00223A44"/>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913C4F"/>
    <w:rsid w:val="00916CCD"/>
    <w:rsid w:val="00961BA8"/>
    <w:rsid w:val="009630E3"/>
    <w:rsid w:val="00972C5F"/>
    <w:rsid w:val="009B5446"/>
    <w:rsid w:val="009D1C5E"/>
    <w:rsid w:val="009F38D5"/>
    <w:rsid w:val="00A00745"/>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D4363"/>
    <w:rsid w:val="00BE0453"/>
    <w:rsid w:val="00C80F6A"/>
    <w:rsid w:val="00C865EA"/>
    <w:rsid w:val="00C867AF"/>
    <w:rsid w:val="00CC5563"/>
    <w:rsid w:val="00CF1563"/>
    <w:rsid w:val="00CF6441"/>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20E4E54A-CCCD-4E5E-8AD9-35181AD0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D4F2C8E-27A3-484B-A262-B8772680ED79}"/>
</file>

<file path=customXml/itemProps2.xml><?xml version="1.0" encoding="utf-8"?>
<ds:datastoreItem xmlns:ds="http://schemas.openxmlformats.org/officeDocument/2006/customXml" ds:itemID="{8CB4EBCE-7885-4F73-B73F-9C7D5933E8A9}"/>
</file>

<file path=customXml/itemProps3.xml><?xml version="1.0" encoding="utf-8"?>
<ds:datastoreItem xmlns:ds="http://schemas.openxmlformats.org/officeDocument/2006/customXml" ds:itemID="{21A0D766-D4FE-4E49-A95D-F7FD6DE6C551}"/>
</file>

<file path=customXml/itemProps4.xml><?xml version="1.0" encoding="utf-8"?>
<ds:datastoreItem xmlns:ds="http://schemas.openxmlformats.org/officeDocument/2006/customXml" ds:itemID="{5AF68F09-16C2-4DA9-BA14-981C986FF620}"/>
</file>

<file path=docProps/app.xml><?xml version="1.0" encoding="utf-8"?>
<Properties xmlns="http://schemas.openxmlformats.org/officeDocument/2006/extended-properties" xmlns:vt="http://schemas.openxmlformats.org/officeDocument/2006/docPropsVTypes">
  <Template>Normal</Template>
  <TotalTime>424</TotalTime>
  <Pages>18</Pages>
  <Words>5293</Words>
  <Characters>29113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22</cp:revision>
  <cp:lastPrinted>2023-05-11T20:38:00Z</cp:lastPrinted>
  <dcterms:created xsi:type="dcterms:W3CDTF">2023-02-23T17:42:00Z</dcterms:created>
  <dcterms:modified xsi:type="dcterms:W3CDTF">2023-05-12T15:03:00Z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